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C8D" w:rsidRDefault="00250C8D" w:rsidP="00250C8D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250C8D" w:rsidRDefault="00250C8D" w:rsidP="00250C8D">
      <w:pPr>
        <w:pStyle w:val="ConsPlusNormal"/>
        <w:outlineLvl w:val="0"/>
      </w:pPr>
    </w:p>
    <w:p w:rsidR="00250C8D" w:rsidRDefault="00250C8D" w:rsidP="00250C8D">
      <w:pPr>
        <w:pStyle w:val="ConsPlusTitle"/>
        <w:jc w:val="center"/>
        <w:outlineLvl w:val="0"/>
      </w:pPr>
      <w:bookmarkStart w:id="0" w:name="OLE_LINK1"/>
      <w:bookmarkStart w:id="1" w:name="OLE_LINK2"/>
      <w:r>
        <w:t>ДУМА</w:t>
      </w:r>
      <w:bookmarkEnd w:id="0"/>
      <w:bookmarkEnd w:id="1"/>
      <w:r>
        <w:t xml:space="preserve"> ХАНТЫ-МАНСИЙСКОГО РАЙОНА</w:t>
      </w:r>
    </w:p>
    <w:p w:rsidR="00250C8D" w:rsidRDefault="00250C8D" w:rsidP="00250C8D">
      <w:pPr>
        <w:pStyle w:val="ConsPlusTitle"/>
        <w:jc w:val="center"/>
      </w:pPr>
    </w:p>
    <w:p w:rsidR="00250C8D" w:rsidRDefault="00250C8D" w:rsidP="00250C8D">
      <w:pPr>
        <w:pStyle w:val="ConsPlusTitle"/>
        <w:jc w:val="center"/>
      </w:pPr>
      <w:bookmarkStart w:id="2" w:name="OLE_LINK3"/>
      <w:bookmarkStart w:id="3" w:name="OLE_LINK4"/>
      <w:r>
        <w:t>РЕШЕНИЕ</w:t>
      </w:r>
    </w:p>
    <w:bookmarkEnd w:id="2"/>
    <w:bookmarkEnd w:id="3"/>
    <w:p w:rsidR="00250C8D" w:rsidRDefault="00250C8D" w:rsidP="00250C8D">
      <w:pPr>
        <w:pStyle w:val="ConsPlusTitle"/>
        <w:jc w:val="center"/>
      </w:pPr>
      <w:r>
        <w:t>от 15 декабря 2023 г. N 391</w:t>
      </w:r>
    </w:p>
    <w:p w:rsidR="00250C8D" w:rsidRDefault="00250C8D" w:rsidP="00250C8D">
      <w:pPr>
        <w:pStyle w:val="ConsPlusTitle"/>
        <w:jc w:val="center"/>
      </w:pPr>
    </w:p>
    <w:p w:rsidR="00250C8D" w:rsidRDefault="00250C8D" w:rsidP="00250C8D">
      <w:pPr>
        <w:pStyle w:val="ConsPlusTitle"/>
        <w:jc w:val="center"/>
      </w:pPr>
      <w:r>
        <w:t>О БЮДЖЕТЕ ХАНТЫ-МАНСИЙСКОГО РАЙОНА НА 2024 ГОД И ПЛАНОВЫЙ</w:t>
      </w:r>
    </w:p>
    <w:p w:rsidR="00250C8D" w:rsidRDefault="00250C8D" w:rsidP="00250C8D">
      <w:pPr>
        <w:pStyle w:val="ConsPlusTitle"/>
        <w:jc w:val="center"/>
      </w:pPr>
      <w:r>
        <w:t>ПЕРИОД 2025 И 2026 ГОДОВ</w:t>
      </w:r>
      <w:r w:rsidR="00D121E1">
        <w:t xml:space="preserve"> </w:t>
      </w:r>
      <w:bookmarkStart w:id="4" w:name="_GoBack"/>
      <w:bookmarkEnd w:id="4"/>
    </w:p>
    <w:p w:rsidR="00250C8D" w:rsidRDefault="00250C8D" w:rsidP="00250C8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250C8D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C8D" w:rsidRDefault="00250C8D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C8D" w:rsidRDefault="00250C8D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50C8D" w:rsidRDefault="00250C8D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50C8D" w:rsidRDefault="00250C8D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решений Думы Ханты-Мансийского района от 16.02.2024 </w:t>
            </w:r>
            <w:hyperlink r:id="rId5">
              <w:r>
                <w:rPr>
                  <w:color w:val="0000FF"/>
                </w:rPr>
                <w:t>N 420</w:t>
              </w:r>
            </w:hyperlink>
            <w:r>
              <w:rPr>
                <w:color w:val="392C69"/>
              </w:rPr>
              <w:t>,</w:t>
            </w:r>
          </w:p>
          <w:p w:rsidR="00250C8D" w:rsidRDefault="00250C8D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17.05.2024 </w:t>
            </w:r>
            <w:hyperlink r:id="rId6">
              <w:r>
                <w:rPr>
                  <w:color w:val="0000FF"/>
                </w:rPr>
                <w:t>N 471</w:t>
              </w:r>
            </w:hyperlink>
            <w:r>
              <w:rPr>
                <w:color w:val="392C69"/>
              </w:rPr>
              <w:t xml:space="preserve">, от 21.06.2024 </w:t>
            </w:r>
            <w:hyperlink r:id="rId7">
              <w:r>
                <w:rPr>
                  <w:color w:val="0000FF"/>
                </w:rPr>
                <w:t>N 482</w:t>
              </w:r>
            </w:hyperlink>
            <w:r>
              <w:rPr>
                <w:color w:val="392C69"/>
              </w:rPr>
              <w:t xml:space="preserve">, от 20.09.2024 </w:t>
            </w:r>
            <w:hyperlink r:id="rId8">
              <w:r>
                <w:rPr>
                  <w:color w:val="0000FF"/>
                </w:rPr>
                <w:t>N 519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50C8D" w:rsidRDefault="00250C8D" w:rsidP="000E7691">
            <w:pPr>
              <w:pStyle w:val="ConsPlusNormal"/>
            </w:pPr>
          </w:p>
        </w:tc>
      </w:tr>
    </w:tbl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</w:pPr>
      <w:r>
        <w:t xml:space="preserve">В целях исполнения расходных обязательств муниципального района, в соответствии с Бюджетным </w:t>
      </w:r>
      <w:hyperlink r:id="rId9">
        <w:r>
          <w:rPr>
            <w:color w:val="0000FF"/>
          </w:rPr>
          <w:t>кодексом</w:t>
        </w:r>
      </w:hyperlink>
      <w:r>
        <w:t xml:space="preserve"> Российской Федерации, на основании </w:t>
      </w:r>
      <w:hyperlink r:id="rId10">
        <w:r>
          <w:rPr>
            <w:color w:val="0000FF"/>
          </w:rPr>
          <w:t>статьи 35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11">
        <w:r>
          <w:rPr>
            <w:color w:val="0000FF"/>
          </w:rPr>
          <w:t>статьи 2</w:t>
        </w:r>
      </w:hyperlink>
      <w:r>
        <w:t xml:space="preserve"> Положения о бюджетном устройстве и бюджетном процессе в Ханты-Мансийском районе, утвержденного решением Думы Ханты-Мансийского района от 27.06.2019 N 479 "О Положении о бюджетном устройстве и бюджетном процессе в Ханты-Мансийском районе", руководствуясь </w:t>
      </w:r>
      <w:hyperlink r:id="rId12">
        <w:r>
          <w:rPr>
            <w:color w:val="0000FF"/>
          </w:rPr>
          <w:t>частью 1 статьи 31</w:t>
        </w:r>
      </w:hyperlink>
      <w:r>
        <w:t xml:space="preserve"> Устава Ханты-Мансийского района, рассмотрев информацию о бюджете Ханты-Мансийского района на 2024 год и плановый период 2025 и 2026 годов, учитывая результаты публичных слушаний, Дума Ханты-Мансийского района решила: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bookmarkStart w:id="5" w:name="P14"/>
      <w:bookmarkEnd w:id="5"/>
      <w:r>
        <w:t>Статья 1. Утвердить основные характеристики бюджета Ханты-Мансийского района (далее - бюджет района) на 2024 год: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прогнозируемый общий </w:t>
      </w:r>
      <w:hyperlink w:anchor="P200">
        <w:r>
          <w:rPr>
            <w:color w:val="0000FF"/>
          </w:rPr>
          <w:t>объем</w:t>
        </w:r>
      </w:hyperlink>
      <w:r>
        <w:t xml:space="preserve"> доходов бюджета района в сумме 5 645 017,2 тыс. рублей согласно приложению 1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общий объем расходов бюджета района в сумме 6 531 072,9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прогнозируемый дефицит бюджета района в сумме 886 055,7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верхний предел муниципального внутреннего долга района на 1 января 2025 года в сумме 242 323,3 тыс. рублей, в том числе верхний предел долга по муниципальным гарантиям Ханты-Мансийского района в сумме 0,0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объем расходов на обслуживание муниципального внутреннего долга района в сумме 94,1 тыс. рублей.</w:t>
      </w:r>
    </w:p>
    <w:p w:rsidR="00250C8D" w:rsidRDefault="00250C8D" w:rsidP="00250C8D">
      <w:pPr>
        <w:pStyle w:val="ConsPlusNormal"/>
        <w:jc w:val="both"/>
      </w:pPr>
      <w:r>
        <w:t xml:space="preserve">(статья 1 ред. </w:t>
      </w:r>
      <w:hyperlink r:id="rId13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bookmarkStart w:id="6" w:name="P22"/>
      <w:bookmarkEnd w:id="6"/>
      <w:r>
        <w:t>Статья 2. Утвердить основные характеристики бюджета района на плановый период 2025 и 2026 годов: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прогнозируемый общий </w:t>
      </w:r>
      <w:hyperlink w:anchor="P637">
        <w:r>
          <w:rPr>
            <w:color w:val="0000FF"/>
          </w:rPr>
          <w:t>объем</w:t>
        </w:r>
      </w:hyperlink>
      <w:r>
        <w:t xml:space="preserve"> доходов бюджета района на 2025 год в сумме 4 506 785,7 тыс. рублей, на 2026 год в сумме 4 452 658,2 тыс. рублей, согласно приложению 2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общий объем расходов бюджета района на 2025 год в сумме 4 626 391,9 тыс. рублей, в том числе общий объем условно утверждаемых расходов в сумме 55 046,6 тыс. рублей, и на 2026 год в сумме 4 505 271,5 тыс. рублей, в том числе общий объем условно утверждаемых расходов в сумме 114 684,9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lastRenderedPageBreak/>
        <w:t>- прогнозируемый дефицит бюджета района на 2025 год в сумме 119 606,2 тыс. рублей и на 2026 год в сумме 52 613,3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верхний предел муниципального внутреннего долга района на 1 января 2026 года в сумме 150 063,4 тыс. рублей, в том числе верхний предел долга по муниципальным гарантиям Ханты-Мансийского района в сумме 0,0 тыс. рублей и на 1 января 2027 года в сумме 94 125,4 тыс. рублей, в том числе верхний предел долга по муниципальным гарантиям Ханты-Мансийского района в сумме 0,0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объем расходов на обслуживание муниципального внутреннего долга района на 2025 год в сумме 199,1 тыс. рублей и на 2026 год в сумме 129,5 тыс. рублей.</w:t>
      </w:r>
    </w:p>
    <w:p w:rsidR="00250C8D" w:rsidRDefault="00250C8D" w:rsidP="00250C8D">
      <w:pPr>
        <w:pStyle w:val="ConsPlusNormal"/>
        <w:jc w:val="both"/>
      </w:pPr>
      <w:r>
        <w:t xml:space="preserve">(статья 2 в ред. </w:t>
      </w:r>
      <w:hyperlink r:id="rId14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 xml:space="preserve">Статья 3. Установить, что использование платы за негативное воздействие на окружающую среду, штрафов, установленных </w:t>
      </w:r>
      <w:hyperlink r:id="rId15">
        <w:r>
          <w:rPr>
            <w:color w:val="0000FF"/>
          </w:rPr>
          <w:t>Кодексом</w:t>
        </w:r>
      </w:hyperlink>
      <w:r>
        <w:t xml:space="preserve">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субъектов Российской Федерации за административные правонарушения в области охраны окружающей среды и природопользования, средств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зачисленных в бюджет района, осуществляется в соответствии с планом мероприятий, указанных в </w:t>
      </w:r>
      <w:hyperlink r:id="rId16">
        <w:r>
          <w:rPr>
            <w:color w:val="0000FF"/>
          </w:rPr>
          <w:t>пункте 1 статьи 16.6</w:t>
        </w:r>
      </w:hyperlink>
      <w:r>
        <w:t xml:space="preserve">, </w:t>
      </w:r>
      <w:hyperlink r:id="rId17">
        <w:r>
          <w:rPr>
            <w:color w:val="0000FF"/>
          </w:rPr>
          <w:t>пункте 1 статьи 75.1</w:t>
        </w:r>
      </w:hyperlink>
      <w:r>
        <w:t xml:space="preserve"> и </w:t>
      </w:r>
      <w:hyperlink r:id="rId18">
        <w:r>
          <w:rPr>
            <w:color w:val="0000FF"/>
          </w:rPr>
          <w:t>пункте 1 статьи 78.2</w:t>
        </w:r>
      </w:hyperlink>
      <w:r>
        <w:t xml:space="preserve"> Федерального закона от 10.01.2002 N 7-ФЗ "Об охране окружающей среды".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4. Утвердить источники внутреннего финансирования дефицита бюджета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1309">
        <w:r>
          <w:rPr>
            <w:color w:val="0000FF"/>
          </w:rPr>
          <w:t>приложению 11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2025 - 2026 годы согласно </w:t>
      </w:r>
      <w:hyperlink w:anchor="P41363">
        <w:r>
          <w:rPr>
            <w:color w:val="0000FF"/>
          </w:rPr>
          <w:t>приложению 12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 xml:space="preserve">Статья 5. Утвердить в пределах общего объема расходов, установленного </w:t>
      </w:r>
      <w:hyperlink w:anchor="P14">
        <w:r>
          <w:rPr>
            <w:color w:val="0000FF"/>
          </w:rPr>
          <w:t>статьей 1</w:t>
        </w:r>
      </w:hyperlink>
      <w:r>
        <w:t xml:space="preserve"> и </w:t>
      </w:r>
      <w:hyperlink w:anchor="P22">
        <w:r>
          <w:rPr>
            <w:color w:val="0000FF"/>
          </w:rPr>
          <w:t>2</w:t>
        </w:r>
      </w:hyperlink>
      <w:r>
        <w:t xml:space="preserve"> настоящего решения, распределение бюджетных ассигнований по разделам, подразделам классификации расходов бюджета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074">
        <w:r>
          <w:rPr>
            <w:color w:val="0000FF"/>
          </w:rPr>
          <w:t>приложению 3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1319">
        <w:r>
          <w:rPr>
            <w:color w:val="0000FF"/>
          </w:rPr>
          <w:t>приложению 4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6. Утвердить ведомственную структуру расходов бюджета района на очередной финансовый год и плановый период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района, в том числе в ее составе перечень главных распорядителей средств бюджета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628">
        <w:r>
          <w:rPr>
            <w:color w:val="0000FF"/>
          </w:rPr>
          <w:t>приложению 5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11505">
        <w:r>
          <w:rPr>
            <w:color w:val="0000FF"/>
          </w:rPr>
          <w:t>приложению 6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7.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19626">
        <w:r>
          <w:rPr>
            <w:color w:val="0000FF"/>
          </w:rPr>
          <w:t>приложению 7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lastRenderedPageBreak/>
        <w:t xml:space="preserve">- на плановый период 2025 и 2026 годов согласно </w:t>
      </w:r>
      <w:hyperlink w:anchor="P27182">
        <w:r>
          <w:rPr>
            <w:color w:val="0000FF"/>
          </w:rPr>
          <w:t>приложению 8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8. 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33783">
        <w:r>
          <w:rPr>
            <w:color w:val="0000FF"/>
          </w:rPr>
          <w:t>приложению 9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плановый период 2025 и 2026 годов согласно </w:t>
      </w:r>
      <w:hyperlink w:anchor="P37674">
        <w:r>
          <w:rPr>
            <w:color w:val="0000FF"/>
          </w:rPr>
          <w:t>приложению 10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9. Утвердить общий объем бюджетных ассигнований, направляемых на исполнение публичных нормативных обязательств на 2024 год в сумме 18 530,0 тыс. рублей, на 2025 год в сумме 18 530,0 тыс. рублей, на 2026 год в сумме 18 530,0 тыс. рублей.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10. Утвердить в составе расходов бюджета района размер резервного фонда Администрации Ханты-Мансийского района на 2024 год в сумме 12 407,0 тыс. рублей, на 2025 год в сумме 15 000,0 тыс. рублей, на 2026 год в сумме 15 000,0 тыс. рублей.</w:t>
      </w:r>
    </w:p>
    <w:p w:rsidR="00250C8D" w:rsidRDefault="00250C8D" w:rsidP="00250C8D">
      <w:pPr>
        <w:pStyle w:val="ConsPlusNormal"/>
        <w:jc w:val="both"/>
      </w:pPr>
      <w:r>
        <w:t xml:space="preserve">(статья 10 в ред. </w:t>
      </w:r>
      <w:hyperlink r:id="rId19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11. Утвердить в составе расходов бюджета района муниципальный дорожный фонд Ханты-Мансийского района на 2024 год в сумме 197 493,4 тыс. рублей, на 2025 год в сумме 6 420,6 тыс. рублей, на 2026 год в сумме 6 624,3 тыс. рублей.</w:t>
      </w:r>
    </w:p>
    <w:p w:rsidR="00250C8D" w:rsidRDefault="00250C8D" w:rsidP="00250C8D">
      <w:pPr>
        <w:pStyle w:val="ConsPlusNormal"/>
        <w:jc w:val="both"/>
      </w:pPr>
      <w:r>
        <w:t xml:space="preserve">(статья 11 в ред. </w:t>
      </w:r>
      <w:hyperlink r:id="rId20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12. В сводную бюджетную роспись бюджета района в 2024 году могут быть внесены изменения в соответствии с решениями руководителя финансового органа без внесения изменений в настоящее решение по следующим дополнительным основаниям: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предусмотренных главным распорядителям бюджетных средств на предоставление муниципальным бюджетным и автономным учреждениям Ханты-Мансийского района субсидий на финансовое обеспечение выполнения муниципального задания на оказание муниципальных услуг (выполнение работ), субсидий на цели, не связанные с финансовым обеспечением выполнения муниципального задания, субсидий автономным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социальной сфере, на обеспечение выполнения функций казенных учреждений, в том числе по оказанию муниципальных услуг (выполнению работ), между учреждениями Ханты-Мансийского района и (или) кодами классификации расходов бюджетов;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увеличение бюджетных ассигнований по соответствующим кодам бюджетной классификации Российской Федерации за счет средств, образовавшихся в связи с экономией в текущем финансовом году бюджетных ассигнований на оказание муниципальных услуг (выполнение работ), в пределах общего объема бюджетных ассигнований, предусмотренных главному распорядителю средств бюджета района в текущем финансовом году на указанные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 (соисполнителями), за исключением случаев увеличения бюджетных ассигнований на функционирование органов администрации Ханты-Мансийского района и учреждений Ханты-Мансийского района, не связанных с их созданием, ликвидацией и реорганизацией (передачей полномочий);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7" w:name="P64"/>
      <w:bookmarkEnd w:id="7"/>
      <w:r>
        <w:t xml:space="preserve">- увеличение за счет средств федерального и регионального бюджета объема дотаций, субвенций, субсидий и иных межбюджетных трансфертов на основании правового акта </w:t>
      </w:r>
      <w:r>
        <w:lastRenderedPageBreak/>
        <w:t>Российской Федерации, субъекта Российской Федерации, доведения предельного объема оплаты денежных обязательств за счет межбюджетных трансфертов, предоставляемых в форме субсидий, субвенций и иных межбюджетных трансфертов, поступления иных межбюджетных трансфертов, имеющих целевое назначение, сверх объемов, утвержденных решением о бюджете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главными распорядителями бюджетных средств, муниципальными программами, подпрограммами, основными мероприятиями, мероприятиями муниципальных программ Ханты-Мансийского района, в том числе добавление мероприятий в рамках основного мероприятия, а также между их исполнителями, включая уменьшение бюджетных ассигнований на функционирование органов администрации Ханты-Мансийского района, связанное с созданием, ликвидацией и реорганизацией (передачей полномочий) органов администрации Ханты-Мансийского района и учреждений Ханты-Мансийского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межбюджетных трансфертов, имеющих целевое назначение, по видам (в рамках одного вида), сельским поселениям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ассигнований, предусмотренных главным распорядителям средств бюджета района по соответствующим кодам классификации расходов бюджетов на проведение отдельных мероприятий в рамках муниципальных программ района, и направление их сельским поселениям района в виде межбюджетных трансфертов;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8" w:name="P68"/>
      <w:bookmarkEnd w:id="8"/>
      <w:r>
        <w:t>- увеличение бюджетных ассигнований на сумму, не использованных по состоянию на 1 января текущего финансового года, остатков средств дорожного фонда Ханты-Мансийского района для последующего использования на те же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9" w:name="P69"/>
      <w:bookmarkEnd w:id="9"/>
      <w:r>
        <w:t>- увеличение бюджетных ассигнований главным распорядителям бюджетных средств и межбюджетных трансфертов бюджетам сельских поселений на сумму, не использованных по состоянию на 1 января текущего финансового года остатков средств, поступивших по соглашениям (договорам) социально-экономического развития от предприятий топливно-энергетического комплекса для последующего использования на те же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10" w:name="P70"/>
      <w:bookmarkEnd w:id="10"/>
      <w:r>
        <w:t>- уменьшение бюджетных ассигнований на сумму, израсходованную получателями бюджетных средств незаконно или не по целевому назначению, по предписаниям контрольных органов Ханты-Мансийского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и регионального бюджета;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ассигнований, доведенных уведомлением (поступивших) в виде единой субвенции или субсидии из федерального и регионального бюджета, а также средств местного бюджета, направленных на </w:t>
      </w:r>
      <w:proofErr w:type="spellStart"/>
      <w:r>
        <w:t>софинансирование</w:t>
      </w:r>
      <w:proofErr w:type="spellEnd"/>
      <w:r>
        <w:t xml:space="preserve"> средств федерального и регионального бюджета, доведенных уведомлением (поступивших) в виде единой субсидии, между главными распорядителями бюджетных средств, муниципальными программами, подпрограммами (мероприятиями) муниципальных программ Ханты-Мансийского района, а также между их исполнителями;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ассигнований, предусмотренных на реализацию Указов Президента Российской Федерации от 7 мая 2012 года </w:t>
      </w:r>
      <w:hyperlink r:id="rId21">
        <w:r>
          <w:rPr>
            <w:color w:val="0000FF"/>
          </w:rPr>
          <w:t>N 597</w:t>
        </w:r>
      </w:hyperlink>
      <w:r>
        <w:t xml:space="preserve"> "О мероприятиях по реализации государственной социальной политики", от 1 июня 2012 года </w:t>
      </w:r>
      <w:hyperlink r:id="rId22">
        <w:r>
          <w:rPr>
            <w:color w:val="0000FF"/>
          </w:rPr>
          <w:t>N 761</w:t>
        </w:r>
      </w:hyperlink>
      <w:r>
        <w:t xml:space="preserve"> "О Национальной стратегии действий в интересах детей на 2012 - 2017 годы" между главными распорядителями, получателями средств бюджета района, сельскими поселениями, соответствующим кодам бюджетной классификации Российской Федерации;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перераспределение бюджетных ассигнований, предусмотренных на индексацию </w:t>
      </w:r>
      <w:r>
        <w:lastRenderedPageBreak/>
        <w:t xml:space="preserve">заработной платы работников, на которых не распространяются Указы Президента Российской Федерации от 7 мая 2012 года </w:t>
      </w:r>
      <w:hyperlink r:id="rId23">
        <w:r>
          <w:rPr>
            <w:color w:val="0000FF"/>
          </w:rPr>
          <w:t>N 597</w:t>
        </w:r>
      </w:hyperlink>
      <w:r>
        <w:t xml:space="preserve"> "О мероприятиях по реализации государственной социальной политики", от 1 июня 2012 года </w:t>
      </w:r>
      <w:hyperlink r:id="rId24">
        <w:r>
          <w:rPr>
            <w:color w:val="0000FF"/>
          </w:rPr>
          <w:t>N 761</w:t>
        </w:r>
      </w:hyperlink>
      <w:r>
        <w:t xml:space="preserve"> "О Национальной стратегии действий в интересах детей на 2012 - 2017 годы", между главными распорядителями, получателями средств бюджета района, сельскими поселениями, разделами, подразделами, целевыми статьями и видами расходов классификации расходов бюджета;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11" w:name="P75"/>
      <w:bookmarkEnd w:id="11"/>
      <w:r>
        <w:t>- распределение бюджетных ассигнований по главным распорядителям бюджетных средств, муниципальным программам, подпрограммам (мероприятиям) муниципальных программ Ханты-Мансийского района, сельским поселениям за счет безвозмездных поступлений от физических и юридических лиц, имеющих целевое назначение, в том числе средств, поступающих в бюджет района по соглашениям о сотрудничестве (договорам пожертвования), заключенным с предприятиями топливно-энергетического комплекса;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уменьшение объема иных межбюджетных трансфертов, направляемых сельским поселениям Ханты-Мансийского района в рамках заключенных соглашений о сотрудничестве (договорам пожертвования) с предприятиями топливно-энергетического комплекса, и направление, в той же сумме, бюджетных ассигнований главным распорядителям средств бюджета района. Уменьшение объема иных межбюджетных трансфертов осуществляется в соответствии с ходатайством сельского поселения;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перераспределение бюджетных ассигнований между муниципальными проектами, обеспечивающими достижение целей, показателей и результатов региональных проектов;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увеличение (уменьшение) бюджетных ассигнований, предусмотренных на финансовое обеспечение реализации муниципальных проектов, мероприятий муниципальных программ, обеспечивающих достижение целей, показателей и результатов региональных проектов, за счет перераспределения бюджетных ассигнований, не отнесенных настоящим решением на указанные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увеличение (уменьшение) бюджетных ассигнований, предусмотренных на финансовое обеспечение реализации мероприятий муниципальных программ, реализуемых на условиях </w:t>
      </w:r>
      <w:proofErr w:type="spellStart"/>
      <w:r>
        <w:t>софинансирования</w:t>
      </w:r>
      <w:proofErr w:type="spellEnd"/>
      <w:r>
        <w:t xml:space="preserve"> из федерального и (или) регионального бюджета, за счет перераспределения бюджетных ассигнований, не отнесенных настоящим решением на указанные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увеличение бюджетных ассигнований, предусмотренных на обслуживание муниципального долга за счет перераспределения бюджетных ассигнований, не отнесенных настоящим решением на указанные цели;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увеличение объема бюджетных ассигнований резервного фонда администрации Ханты-Мансийского района за счет неиспользованных бюджетных ассигнований, сложившихся в связи с отменой проведения в 2024 году мероприятий, предусмотренных муниципальными программами Ханты-Мансийского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bookmarkStart w:id="12" w:name="P82"/>
      <w:bookmarkEnd w:id="12"/>
      <w:r>
        <w:t xml:space="preserve">- увеличение объема бюджетных ассигнований на реализацию отдельных мероприятий плана природоохранных мероприятий, утвержденного уполномоченным органом государственной власти автономного округа, в объеме средств, указанных в </w:t>
      </w:r>
      <w:hyperlink r:id="rId25">
        <w:r>
          <w:rPr>
            <w:color w:val="0000FF"/>
          </w:rPr>
          <w:t>пункте 1 статьи 16.6</w:t>
        </w:r>
      </w:hyperlink>
      <w:r>
        <w:t xml:space="preserve">, </w:t>
      </w:r>
      <w:hyperlink r:id="rId26">
        <w:r>
          <w:rPr>
            <w:color w:val="0000FF"/>
          </w:rPr>
          <w:t>пункте 1 статьи 75.1</w:t>
        </w:r>
      </w:hyperlink>
      <w:r>
        <w:t xml:space="preserve">, </w:t>
      </w:r>
      <w:hyperlink r:id="rId27">
        <w:r>
          <w:rPr>
            <w:color w:val="0000FF"/>
          </w:rPr>
          <w:t>пункте 1 статьи 78.2</w:t>
        </w:r>
      </w:hyperlink>
      <w:r>
        <w:t xml:space="preserve"> Федерального закона от 10.01.2002 N 7-ФЗ "Об охране окружающей среды" и поступивших в бюджет района сверх объемов, учтенных при утверждении общего объема доходов Ханты-Мансийского района, но не более суммы фактически поступивших доходов;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изменение бюджетной классификации расходов бюджета без изменения целевого направления средств;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перераспределение в соответствии с распоряжениями администрации Ханты-Мансийского </w:t>
      </w:r>
      <w:r>
        <w:lastRenderedPageBreak/>
        <w:t>района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Внесение изменений в сводную бюджетную роспись по основаниям, установленным настоящей статьей, осуществляется в пределах объема бюджетных ассигнований, утвержденных решением о бюджете района, за исключением оснований, установленных </w:t>
      </w:r>
      <w:hyperlink w:anchor="P64">
        <w:r>
          <w:rPr>
            <w:color w:val="0000FF"/>
          </w:rPr>
          <w:t>абзацами пятым</w:t>
        </w:r>
      </w:hyperlink>
      <w:r>
        <w:t xml:space="preserve">, </w:t>
      </w:r>
      <w:hyperlink w:anchor="P68">
        <w:r>
          <w:rPr>
            <w:color w:val="0000FF"/>
          </w:rPr>
          <w:t>девятым</w:t>
        </w:r>
      </w:hyperlink>
      <w:r>
        <w:t xml:space="preserve">, </w:t>
      </w:r>
      <w:hyperlink w:anchor="P69">
        <w:r>
          <w:rPr>
            <w:color w:val="0000FF"/>
          </w:rPr>
          <w:t>десятым</w:t>
        </w:r>
      </w:hyperlink>
      <w:r>
        <w:t xml:space="preserve">, </w:t>
      </w:r>
      <w:hyperlink w:anchor="P70">
        <w:r>
          <w:rPr>
            <w:color w:val="0000FF"/>
          </w:rPr>
          <w:t>одиннадцатым</w:t>
        </w:r>
      </w:hyperlink>
      <w:r>
        <w:t xml:space="preserve">, </w:t>
      </w:r>
      <w:hyperlink w:anchor="P75">
        <w:r>
          <w:rPr>
            <w:color w:val="0000FF"/>
          </w:rPr>
          <w:t>шестнадцатым</w:t>
        </w:r>
      </w:hyperlink>
      <w:r>
        <w:t xml:space="preserve"> и </w:t>
      </w:r>
      <w:hyperlink w:anchor="P82">
        <w:r>
          <w:rPr>
            <w:color w:val="0000FF"/>
          </w:rPr>
          <w:t>двадцать третьим</w:t>
        </w:r>
      </w:hyperlink>
      <w:r>
        <w:t xml:space="preserve"> настоящей статьи, в соответствии с которыми внесение изменений в сводную бюджетную роспись может осуществляться с изменением общего объема расходов, утвержденных решением о бюджете района.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13. Утвердить объем межбюджетных трансфертов, получаемых из других бюджетов бюджетной системы Российской Федерации: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в сумме 3 264 877,2 тыс. рублей, в составе согласно </w:t>
      </w:r>
      <w:hyperlink w:anchor="P41428">
        <w:r>
          <w:rPr>
            <w:color w:val="0000FF"/>
          </w:rPr>
          <w:t>приложению 13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2025 год в сумме 2 505 076,7 тыс. рублей, на 2026 год в сумме 2 366 959,6 тыс. рублей, в составе согласно </w:t>
      </w:r>
      <w:hyperlink w:anchor="P41768">
        <w:r>
          <w:rPr>
            <w:color w:val="0000FF"/>
          </w:rPr>
          <w:t>приложению 14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jc w:val="both"/>
      </w:pPr>
      <w:r>
        <w:t xml:space="preserve">(статья 13 в ред. </w:t>
      </w:r>
      <w:hyperlink r:id="rId28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14. Утвердить объем межбюджетных трансфертов, предоставляемых другим бюджетам бюджетной системы Российской Федерации: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2024 год в сумме 586 023,1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2025 год в сумме 389 697,8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2026 год в сумме 376 188,4 тыс. рублей.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Утвердить распределение объема межбюджетных трансфертов, предоставляемых бюджетам сельских поселений Ханты-Мансийского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1929">
        <w:r>
          <w:rPr>
            <w:color w:val="0000FF"/>
          </w:rPr>
          <w:t>приложению 15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2025 год согласно </w:t>
      </w:r>
      <w:hyperlink w:anchor="P42422">
        <w:r>
          <w:rPr>
            <w:color w:val="0000FF"/>
          </w:rPr>
          <w:t>приложению 16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2026 год согласно </w:t>
      </w:r>
      <w:hyperlink w:anchor="P42619">
        <w:r>
          <w:rPr>
            <w:color w:val="0000FF"/>
          </w:rPr>
          <w:t>приложению 17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jc w:val="both"/>
      </w:pPr>
      <w:r>
        <w:t xml:space="preserve">(статья 14 в ред. </w:t>
      </w:r>
      <w:hyperlink r:id="rId29">
        <w:r>
          <w:rPr>
            <w:color w:val="0000FF"/>
          </w:rPr>
          <w:t>решения</w:t>
        </w:r>
      </w:hyperlink>
      <w:r>
        <w:t xml:space="preserve"> Думы Ханты-Мансийского района от 20.09.2024 N 519)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15. Утвердить объем и распределение дотаций на выравнивание бюджетной обеспеченности поселений из бюджета муниципального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2024 год в сумме 361 818,9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2025 год в сумме 375 283,9 тыс. рублей;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на 2026 год в сумме 367 704,5 тыс. рублей.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Утвердить распределение дотаций на выравнивание бюджетной обеспеченности поселений из бюджета муниципального района: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2024 год согласно </w:t>
      </w:r>
      <w:hyperlink w:anchor="P42816">
        <w:r>
          <w:rPr>
            <w:color w:val="0000FF"/>
          </w:rPr>
          <w:t>приложению 18</w:t>
        </w:r>
      </w:hyperlink>
      <w:r>
        <w:t xml:space="preserve"> к настоящему решению;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на 2025 - 2026 годы согласно </w:t>
      </w:r>
      <w:hyperlink w:anchor="P42860">
        <w:r>
          <w:rPr>
            <w:color w:val="0000FF"/>
          </w:rPr>
          <w:t>приложению 19</w:t>
        </w:r>
      </w:hyperlink>
      <w:r>
        <w:t xml:space="preserve">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 xml:space="preserve">Статья 16. Установить, что в расходах бюджета района в 2024 году и плановом периоде 2025 </w:t>
      </w:r>
      <w:r>
        <w:lastRenderedPageBreak/>
        <w:t>и 2026 годов предусмотрены средства на предоставление субсидий: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юридическим лицам (за исключением субсидий государственным (муниципальным) учреждениям), индивидуальным предпринимателям, физическим лицам -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сахаросодержащих напитков, если иное не предусмотрено нормативными правовыми актами Правительства Российской Федерации), выполнением работ, оказанием услуг согласно </w:t>
      </w:r>
      <w:hyperlink w:anchor="P42932">
        <w:r>
          <w:rPr>
            <w:color w:val="0000FF"/>
          </w:rPr>
          <w:t>разделу 1 таблицы</w:t>
        </w:r>
      </w:hyperlink>
      <w:r>
        <w:t xml:space="preserve"> приложения 20 к настоящему решению.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Категории и (или) критерии отбора юридических лиц, индивидуальных предпринимателей, физических лиц, цели, условия и порядок предоставления субсидий, порядок возврата субсидий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положения об обязательной проверке главным распорядителем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устанавливаются правовым актом администрации Ханты-Мансийского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иным некоммерческим организациям, не являющимся муниципальными учреждениями, согласно </w:t>
      </w:r>
      <w:hyperlink w:anchor="P43026">
        <w:r>
          <w:rPr>
            <w:color w:val="0000FF"/>
          </w:rPr>
          <w:t>разделу 2 таблицы</w:t>
        </w:r>
      </w:hyperlink>
      <w:r>
        <w:t xml:space="preserve"> приложения 20 к настоящему решению.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Порядок предоставления субсидий иным некоммерческим организациям, не являющимся муниципальными учреждениями, устанавливается администрацией Ханты-Мансийского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муниципальным предприятиям на осуществление капитальных вложений в объекты капитального строительства муниципальной собственности с последующим увеличением стоимости основных средств, находящихся на праве хозяйственного ведения у этих предприятий, а также уставного фонда указанных предприятий, основанных на праве хозяйственного ведения согласно </w:t>
      </w:r>
      <w:hyperlink w:anchor="P43093">
        <w:r>
          <w:rPr>
            <w:color w:val="0000FF"/>
          </w:rPr>
          <w:t>разделу 3 таблицы</w:t>
        </w:r>
      </w:hyperlink>
      <w:r>
        <w:t xml:space="preserve"> приложения 20 к настоящему решению.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Принятие решений о предоставлении бюджетных ассигнований на осуществление за счет субсидий из бюджета района капитальных вложений в объекты муниципальной собственности и предоставление указанных субсидий осуществляются в порядке, установленном администрацией Ханты-Мансийского района.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Определить муниципальное предприятие "ЖЭК-3" Ханты-Мансийского района получателем субсидии в целях: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0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транспортных расходов по доставке продукции (товаров), необходимой для обеспечения жизнедеятельности населения, проживающего на территориях северного завоза Ханты-Мансийского района;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1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затрат, связанных с предоставлением услуг населению по тарифам, не обеспечивающим издержки бань;</w:t>
      </w:r>
    </w:p>
    <w:p w:rsidR="00250C8D" w:rsidRDefault="00250C8D" w:rsidP="00250C8D">
      <w:pPr>
        <w:pStyle w:val="ConsPlusNormal"/>
        <w:jc w:val="both"/>
      </w:pPr>
      <w:r>
        <w:lastRenderedPageBreak/>
        <w:t xml:space="preserve">(абзац введен </w:t>
      </w:r>
      <w:hyperlink r:id="rId32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затрат на содержание площадок временного накопления твердых коммунальных отходов в Ханты-Мансийском районе;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3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затрат на содержание приютов для животных в Ханты-Мансийском районе;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4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недополученных доходов, связанных с предоставлением услуг по доставке (подвозу) питьевой воды по тарифам, установленным с учетом уровня платы населения;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5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недополученных доходов, связанных с предоставлением услуг по вывозу жидких бытовых отходов по тарифам, установленным с учетом уровня платы населения;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предупреждения банкротства и восстановления платежеспособности предприятия;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7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недополученных доходов в связи с оказанием коммунальных услуг населению Ханты-Мансийского района;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8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возмещения затрат на проведение капитального ремонта систем теплоснабжения, газоснабжения, водоснабжения и водоотведения и подготовку к осенне-зимнему периоду жилищно-коммунального комплекса Ханты-Мансийского района;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39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осуществления капитальных вложений в объекты капитального строительства муниципальной собственности.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40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Определить Акционерное общество "Югорская энергетическая компания децентрализованной зоны" получателем субсидии в целях возмещения недополученных доходов, связанных с реализацией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района, по цене электрической энергии зоны централизованного электроснабжения.</w:t>
      </w:r>
    </w:p>
    <w:p w:rsidR="00250C8D" w:rsidRDefault="00250C8D" w:rsidP="00250C8D">
      <w:pPr>
        <w:pStyle w:val="ConsPlusNormal"/>
        <w:jc w:val="both"/>
      </w:pPr>
      <w:r>
        <w:t xml:space="preserve">(абзац введен </w:t>
      </w:r>
      <w:hyperlink r:id="rId41">
        <w:r>
          <w:rPr>
            <w:color w:val="0000FF"/>
          </w:rPr>
          <w:t>решением</w:t>
        </w:r>
      </w:hyperlink>
      <w:r>
        <w:t xml:space="preserve"> Думы Ханты-Мансийского района от 17.05.2024 N 471)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17. Открытие и ведение лицевых счетов для автономных учреждений, созданных на базе имущества, находящегося в собственности Ханты-Мансийского района, осуществляются в комитете по финансам администрации Ханты-Мансийского района в порядке, установленном комитетом по финансам администрации Ханты-Мансийского района.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18. Установить, что администрация Ханты-Мансийского района и органы администрации Ханты-Мансийского района не вправе принимать решения, приводящие к увеличению в 2024 году численности лиц, замещающих муниципальные должности, должности муниципальной службы, а также работников органов администрации Ханты-Мансийского района (за исключением случаев принятия решений по перераспределению функций (полномочий) или наделению ими) и муниципальных учреждений Ханты-Мансийского района (за исключением случаев принятия решений по перераспределению функций (полномочий) или наделению ими, по вводу (приобретению) новых объектов капитального строительства).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19. Установить, что правовые акты Ханты-Мансийского района, влекущие дополнительные расходы за счет средств бюджета района на 2024 год, а также сокращающие доходную базу, реализуются и применяются только при наличии соответствующих источников дополнительных поступлений в бюджет района и (или) при сокращении расходов по конкретным статьям бюджета района на 2024 год, а также после внесения соответствующих изменений в настоящее решение.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20. Установить, что в случае невыполнения доходной части бюджета района в 2024 году в первоочередном порядке подлежат финансированию социально значимые расходы, связанные с: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оплатой труда и начислениями на выплаты по оплате труда;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социальным обеспечением населения;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обеспечением медикаментами и перевязочными средствами;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оплатой коммунальных услуг;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предоставлением межбюджетных трансфертов бюджетам сельских поселений Ханты-Мансийского района в части дотаций и субвенций.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Перечень иных первоочередных расходов, не отнесенных к социально значимым расходам, а также объемы лимитов бюджетных обязательств в 2024 году определяются комитетом по финансам администрации Ханты-Мансийского района в пределах поступающих доходов в бюджет района.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 xml:space="preserve">Статья 21. Утвердить </w:t>
      </w:r>
      <w:hyperlink w:anchor="P43146">
        <w:r>
          <w:rPr>
            <w:color w:val="0000FF"/>
          </w:rPr>
          <w:t>программу</w:t>
        </w:r>
      </w:hyperlink>
      <w:r>
        <w:t xml:space="preserve"> муниципальных внутренних заимствований Ханты-Мансийского района на 2024 год и плановый период 2025 и 2026 годов согласно приложению 21 к настоящему решению.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22. Денежные обязательства (задолженность по денежным обязательствам) перед Ханты-Мансийским районом могут быть урегулированы посредством заключения соглашений о реструктуризации денежного обязательства (задолженности по денежным обязательствам) перед Ханты-Мансийским районом (далее - соглашение о реструктуризации).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Заключение соглашений о реструктуризации осуществляется администрацией Ханты-Мансийского района в соответствии с законодательством Российской Федерации, Ханты-Мансийского автономного округа - Югры и муниципальными правовыми актами Ханты-Мансийского района.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Установить, что реструктуризация денежных обязательств (задолженности по денежным обязательствам) перед Ханты-Мансийским районом может быть осуществлена при наличии хотя бы одного из следующих оснований: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причинение должнику ущерба в результате стихийного бедствия, технологической катастрофы или других обстоятельств непреодолимой силы;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задержка финансирования из бюджетов всех уровней, в том числе оплаты выполненного должником муниципального контракта либо муниципального задания;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угроза банкротства в случае единовременной выплаты имеющейся задолженности по денежному обязательству (задолженности по денежным обязательствам);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угроза нарушения бесперебойного функционирования деятельности предприятий Ханты-</w:t>
      </w:r>
      <w:r>
        <w:lastRenderedPageBreak/>
        <w:t>Мансийского района, осуществляющих обеспечение объектов жизнеобеспечения или социальной инфраструктуры населенных пунктов Ханты-Мансийского района в случае единовременной выплаты имеющейся задолженности по денежному обязательству.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Реструктуризация денежных обязательств (задолженности по денежным обязательствам) перед Ханты-Мансийским районом проводится следующими способами и на следующих основных условиях: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с предоставлением отсрочки погашения задолженности до трех лет;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с предоставлением рассрочки погашения до десяти лет, путем поэтапного погашения денежных обязательств (задолженности по денежным обязательствам), имеющимся на 1 число месяца, предшествующего дате принятия решения о реструктуризации;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изменение величины процентов или неустойки по денежным обязательствам (задолженности по денежным обязательствам), при этом на остаток задолженности ежемесячно начисляются и уплачиваются должником проценты за пользование средствами местного бюджета в размере 0,1 процента годовых;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задолженность по начисленной неустойке подлежит оплате после полного погашения должником задолженности и процентов за рассрочку, но не позднее одного месяца с даты полного погашения задолженности, либо, в случае полного и своевременного выполнения должником обязательств по погашению задолженности и уплате начисленных процентов, неустойка подлежит списанию (прощению).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Установить, что правила (основания, условия и порядок) реструктуризации денежных обязательств (задолженности по денежным обязательствам) перед Ханты-Мансийским районом устанавливаются постановлением администрации Ханты-Мансийского района.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23. Установить, что в 2024 году комитет по финансам администрации Ханты-Мансийского района осуществляет казначейское сопровождение средств.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Казначейскому сопровождению подлежат: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авансовые платежи и расчеты по муниципальным контрактам о поставке товаров, выполнении работ, оказании услуг, заключаемым на сумму более 50 000,0 тыс. рублей, источником финансового обеспечения исполнения которых являются средства, предоставляемые из бюджета района;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авансовые платежи и расчеты по контрактам (договорам) о поставке товаров, выполнении работ, оказании услуг, заключаемым на сумму более 50 000,0 тыс. рублей муниципальными бюджетными или автономными учреждениями района, лицевые счета которым открыты в комитете по финансам администрации Ханты-Мансийского района, за счет средств, предоставляемых из бюджета района в соответствии с законодательством Российской Федерации;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 xml:space="preserve">-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</w:t>
      </w:r>
      <w:hyperlink r:id="rId42">
        <w:r>
          <w:rPr>
            <w:color w:val="0000FF"/>
          </w:rPr>
          <w:t>абзаце четвертом подпункта 1 статьи 242.27</w:t>
        </w:r>
      </w:hyperlink>
      <w:r>
        <w:t xml:space="preserve"> Бюджетного кодекса Российской Федерации);</w:t>
      </w:r>
    </w:p>
    <w:p w:rsidR="00250C8D" w:rsidRDefault="00250C8D" w:rsidP="00250C8D">
      <w:pPr>
        <w:pStyle w:val="ConsPlusNormal"/>
        <w:spacing w:before="220"/>
        <w:ind w:firstLine="540"/>
        <w:jc w:val="both"/>
      </w:pPr>
      <w:r>
        <w:t>- иные средства, определенные нормативно-правовыми актами администрации Ханты-Мансийского района.</w:t>
      </w:r>
    </w:p>
    <w:p w:rsidR="00250C8D" w:rsidRDefault="00250C8D" w:rsidP="00250C8D">
      <w:pPr>
        <w:pStyle w:val="ConsPlusNormal"/>
        <w:ind w:firstLine="540"/>
        <w:jc w:val="both"/>
      </w:pPr>
    </w:p>
    <w:p w:rsidR="00250C8D" w:rsidRDefault="00250C8D" w:rsidP="00250C8D">
      <w:pPr>
        <w:pStyle w:val="ConsPlusNormal"/>
        <w:ind w:firstLine="540"/>
        <w:jc w:val="both"/>
        <w:outlineLvl w:val="1"/>
      </w:pPr>
      <w:r>
        <w:t>Статья 24. Настоящее решение вступает в силу после его официального опубликования (обнародования), но не ранее 1 января 2024 года.</w:t>
      </w:r>
    </w:p>
    <w:p w:rsidR="00250C8D" w:rsidRDefault="00250C8D" w:rsidP="00250C8D">
      <w:pPr>
        <w:pStyle w:val="ConsPlusNormal"/>
        <w:ind w:firstLine="540"/>
        <w:jc w:val="both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841"/>
    <w:rsid w:val="001D71AC"/>
    <w:rsid w:val="001F7841"/>
    <w:rsid w:val="00250C8D"/>
    <w:rsid w:val="00D12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76A81-F3FA-4E45-868B-1FE72EE8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C8D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C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250C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250C8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9017&amp;dst=100005" TargetMode="External"/><Relationship Id="rId13" Type="http://schemas.openxmlformats.org/officeDocument/2006/relationships/hyperlink" Target="https://login.consultant.ru/link/?req=doc&amp;base=RLAW926&amp;n=309017&amp;dst=100006" TargetMode="External"/><Relationship Id="rId18" Type="http://schemas.openxmlformats.org/officeDocument/2006/relationships/hyperlink" Target="https://login.consultant.ru/link/?req=doc&amp;base=LAW&amp;n=471223&amp;dst=1087" TargetMode="External"/><Relationship Id="rId26" Type="http://schemas.openxmlformats.org/officeDocument/2006/relationships/hyperlink" Target="https://login.consultant.ru/link/?req=doc&amp;base=LAW&amp;n=471223&amp;dst=1085" TargetMode="External"/><Relationship Id="rId39" Type="http://schemas.openxmlformats.org/officeDocument/2006/relationships/hyperlink" Target="https://login.consultant.ru/link/?req=doc&amp;base=RLAW926&amp;n=302670&amp;dst=10004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129344" TargetMode="External"/><Relationship Id="rId34" Type="http://schemas.openxmlformats.org/officeDocument/2006/relationships/hyperlink" Target="https://login.consultant.ru/link/?req=doc&amp;base=RLAW926&amp;n=302670&amp;dst=100040" TargetMode="External"/><Relationship Id="rId42" Type="http://schemas.openxmlformats.org/officeDocument/2006/relationships/hyperlink" Target="https://login.consultant.ru/link/?req=doc&amp;base=LAW&amp;n=469774&amp;dst=6786" TargetMode="External"/><Relationship Id="rId7" Type="http://schemas.openxmlformats.org/officeDocument/2006/relationships/hyperlink" Target="https://login.consultant.ru/link/?req=doc&amp;base=RLAW926&amp;n=304557&amp;dst=100005" TargetMode="External"/><Relationship Id="rId12" Type="http://schemas.openxmlformats.org/officeDocument/2006/relationships/hyperlink" Target="https://login.consultant.ru/link/?req=doc&amp;base=RLAW926&amp;n=309987&amp;dst=100956" TargetMode="External"/><Relationship Id="rId17" Type="http://schemas.openxmlformats.org/officeDocument/2006/relationships/hyperlink" Target="https://login.consultant.ru/link/?req=doc&amp;base=LAW&amp;n=471223&amp;dst=1085" TargetMode="External"/><Relationship Id="rId25" Type="http://schemas.openxmlformats.org/officeDocument/2006/relationships/hyperlink" Target="https://login.consultant.ru/link/?req=doc&amp;base=LAW&amp;n=471223&amp;dst=1084" TargetMode="External"/><Relationship Id="rId33" Type="http://schemas.openxmlformats.org/officeDocument/2006/relationships/hyperlink" Target="https://login.consultant.ru/link/?req=doc&amp;base=RLAW926&amp;n=302670&amp;dst=100039" TargetMode="External"/><Relationship Id="rId38" Type="http://schemas.openxmlformats.org/officeDocument/2006/relationships/hyperlink" Target="https://login.consultant.ru/link/?req=doc&amp;base=RLAW926&amp;n=302670&amp;dst=10004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71223&amp;dst=1084" TargetMode="External"/><Relationship Id="rId20" Type="http://schemas.openxmlformats.org/officeDocument/2006/relationships/hyperlink" Target="https://login.consultant.ru/link/?req=doc&amp;base=RLAW926&amp;n=309017&amp;dst=100022" TargetMode="External"/><Relationship Id="rId29" Type="http://schemas.openxmlformats.org/officeDocument/2006/relationships/hyperlink" Target="https://login.consultant.ru/link/?req=doc&amp;base=RLAW926&amp;n=309017&amp;dst=100028" TargetMode="External"/><Relationship Id="rId41" Type="http://schemas.openxmlformats.org/officeDocument/2006/relationships/hyperlink" Target="https://login.consultant.ru/link/?req=doc&amp;base=RLAW926&amp;n=302670&amp;dst=1000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2670&amp;dst=100005" TargetMode="External"/><Relationship Id="rId11" Type="http://schemas.openxmlformats.org/officeDocument/2006/relationships/hyperlink" Target="https://login.consultant.ru/link/?req=doc&amp;base=RLAW926&amp;n=194729&amp;dst=100051" TargetMode="External"/><Relationship Id="rId24" Type="http://schemas.openxmlformats.org/officeDocument/2006/relationships/hyperlink" Target="https://login.consultant.ru/link/?req=doc&amp;base=LAW&amp;n=130516" TargetMode="External"/><Relationship Id="rId32" Type="http://schemas.openxmlformats.org/officeDocument/2006/relationships/hyperlink" Target="https://login.consultant.ru/link/?req=doc&amp;base=RLAW926&amp;n=302670&amp;dst=100038" TargetMode="External"/><Relationship Id="rId37" Type="http://schemas.openxmlformats.org/officeDocument/2006/relationships/hyperlink" Target="https://login.consultant.ru/link/?req=doc&amp;base=RLAW926&amp;n=302670&amp;dst=100043" TargetMode="External"/><Relationship Id="rId40" Type="http://schemas.openxmlformats.org/officeDocument/2006/relationships/hyperlink" Target="https://login.consultant.ru/link/?req=doc&amp;base=RLAW926&amp;n=302670&amp;dst=100046" TargetMode="External"/><Relationship Id="rId5" Type="http://schemas.openxmlformats.org/officeDocument/2006/relationships/hyperlink" Target="https://login.consultant.ru/link/?req=doc&amp;base=RLAW926&amp;n=297438&amp;dst=100005" TargetMode="External"/><Relationship Id="rId15" Type="http://schemas.openxmlformats.org/officeDocument/2006/relationships/hyperlink" Target="https://login.consultant.ru/link/?req=doc&amp;base=LAW&amp;n=488089" TargetMode="External"/><Relationship Id="rId23" Type="http://schemas.openxmlformats.org/officeDocument/2006/relationships/hyperlink" Target="https://login.consultant.ru/link/?req=doc&amp;base=LAW&amp;n=129344" TargetMode="External"/><Relationship Id="rId28" Type="http://schemas.openxmlformats.org/officeDocument/2006/relationships/hyperlink" Target="https://login.consultant.ru/link/?req=doc&amp;base=RLAW926&amp;n=309017&amp;dst=100024" TargetMode="External"/><Relationship Id="rId36" Type="http://schemas.openxmlformats.org/officeDocument/2006/relationships/hyperlink" Target="https://login.consultant.ru/link/?req=doc&amp;base=RLAW926&amp;n=302670&amp;dst=100042" TargetMode="External"/><Relationship Id="rId10" Type="http://schemas.openxmlformats.org/officeDocument/2006/relationships/hyperlink" Target="https://login.consultant.ru/link/?req=doc&amp;base=LAW&amp;n=471024&amp;dst=100418" TargetMode="External"/><Relationship Id="rId19" Type="http://schemas.openxmlformats.org/officeDocument/2006/relationships/hyperlink" Target="https://login.consultant.ru/link/?req=doc&amp;base=RLAW926&amp;n=309017&amp;dst=100020" TargetMode="External"/><Relationship Id="rId31" Type="http://schemas.openxmlformats.org/officeDocument/2006/relationships/hyperlink" Target="https://login.consultant.ru/link/?req=doc&amp;base=RLAW926&amp;n=302670&amp;dst=100037" TargetMode="External"/><Relationship Id="rId44" Type="http://schemas.openxmlformats.org/officeDocument/2006/relationships/theme" Target="theme/theme1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9774&amp;dst=91" TargetMode="External"/><Relationship Id="rId14" Type="http://schemas.openxmlformats.org/officeDocument/2006/relationships/hyperlink" Target="https://login.consultant.ru/link/?req=doc&amp;base=RLAW926&amp;n=309017&amp;dst=100013" TargetMode="External"/><Relationship Id="rId22" Type="http://schemas.openxmlformats.org/officeDocument/2006/relationships/hyperlink" Target="https://login.consultant.ru/link/?req=doc&amp;base=LAW&amp;n=130516" TargetMode="External"/><Relationship Id="rId27" Type="http://schemas.openxmlformats.org/officeDocument/2006/relationships/hyperlink" Target="https://login.consultant.ru/link/?req=doc&amp;base=LAW&amp;n=471223&amp;dst=1087" TargetMode="External"/><Relationship Id="rId30" Type="http://schemas.openxmlformats.org/officeDocument/2006/relationships/hyperlink" Target="https://login.consultant.ru/link/?req=doc&amp;base=RLAW926&amp;n=302670&amp;dst=100035" TargetMode="External"/><Relationship Id="rId35" Type="http://schemas.openxmlformats.org/officeDocument/2006/relationships/hyperlink" Target="https://login.consultant.ru/link/?req=doc&amp;base=RLAW926&amp;n=302670&amp;dst=100041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5263</Words>
  <Characters>30001</Characters>
  <Application>Microsoft Office Word</Application>
  <DocSecurity>0</DocSecurity>
  <Lines>250</Lines>
  <Paragraphs>70</Paragraphs>
  <ScaleCrop>false</ScaleCrop>
  <Company/>
  <LinksUpToDate>false</LinksUpToDate>
  <CharactersWithSpaces>35194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2024-12-28T07:21:00Z</dcterms:created>
  <dcterms:modified xsi:type="dcterms:W3CDTF">2024-10-18T11:49:00Z</dcterms:modified>
</cp:coreProperties>
</file>