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A7F" w:rsidRDefault="007D1A7F" w:rsidP="007D1A7F">
      <w:pPr>
        <w:pStyle w:val="ConsPlusNormal"/>
        <w:jc w:val="right"/>
        <w:outlineLvl w:val="0"/>
      </w:pPr>
      <w:r>
        <w:t>Приложение 15</w:t>
      </w:r>
    </w:p>
    <w:p w:rsidR="007D1A7F" w:rsidRDefault="007D1A7F" w:rsidP="007D1A7F">
      <w:pPr>
        <w:pStyle w:val="ConsPlusNormal"/>
        <w:jc w:val="right"/>
      </w:pPr>
      <w:r>
        <w:t>к решению</w:t>
      </w:r>
    </w:p>
    <w:p w:rsidR="007D1A7F" w:rsidRDefault="007D1A7F" w:rsidP="007D1A7F">
      <w:pPr>
        <w:pStyle w:val="ConsPlusNormal"/>
        <w:jc w:val="right"/>
      </w:pPr>
      <w:r>
        <w:t>Думы Ханты-Мансийского района</w:t>
      </w:r>
    </w:p>
    <w:p w:rsidR="007D1A7F" w:rsidRDefault="007D1A7F" w:rsidP="007D1A7F">
      <w:pPr>
        <w:pStyle w:val="ConsPlusNormal"/>
        <w:jc w:val="right"/>
      </w:pPr>
      <w:r>
        <w:t>от 15.12.2023 N 391</w:t>
      </w:r>
    </w:p>
    <w:p w:rsidR="007D1A7F" w:rsidRDefault="007D1A7F" w:rsidP="007D1A7F">
      <w:pPr>
        <w:pStyle w:val="ConsPlusNormal"/>
        <w:jc w:val="center"/>
      </w:pPr>
    </w:p>
    <w:p w:rsidR="007D1A7F" w:rsidRDefault="007D1A7F" w:rsidP="007D1A7F">
      <w:pPr>
        <w:pStyle w:val="ConsPlusTitle"/>
        <w:jc w:val="center"/>
      </w:pPr>
      <w:bookmarkStart w:id="0" w:name="P41929"/>
      <w:bookmarkEnd w:id="0"/>
      <w:r>
        <w:t>ОБЪЕМ</w:t>
      </w:r>
    </w:p>
    <w:p w:rsidR="007D1A7F" w:rsidRDefault="007D1A7F" w:rsidP="007D1A7F">
      <w:pPr>
        <w:pStyle w:val="ConsPlusTitle"/>
        <w:jc w:val="center"/>
      </w:pPr>
      <w:bookmarkStart w:id="1" w:name="OLE_LINK43"/>
      <w:bookmarkStart w:id="2" w:name="OLE_LINK44"/>
      <w:r>
        <w:t>МЕЖБЮДЖЕТНЫХ ТРАНСФЕРТОВ, ПРЕДОСТАВЛЯЕМЫХ БЮДЖЕТАМ СЕЛЬСКИХ</w:t>
      </w:r>
    </w:p>
    <w:bookmarkEnd w:id="1"/>
    <w:bookmarkEnd w:id="2"/>
    <w:p w:rsidR="007D1A7F" w:rsidRDefault="007D1A7F" w:rsidP="007D1A7F">
      <w:pPr>
        <w:pStyle w:val="ConsPlusTitle"/>
        <w:jc w:val="center"/>
      </w:pPr>
      <w:r>
        <w:t>ПОСЕЛЕНИЙ ХАНТЫ-МАНСИЙСКОГО РАЙОНА НА 2024 ГОД</w:t>
      </w:r>
      <w:r w:rsidR="000D68B9">
        <w:t xml:space="preserve"> </w:t>
      </w:r>
      <w:bookmarkStart w:id="3" w:name="_GoBack"/>
      <w:bookmarkEnd w:id="3"/>
    </w:p>
    <w:p w:rsidR="007D1A7F" w:rsidRDefault="007D1A7F" w:rsidP="007D1A7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7D1A7F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D1A7F" w:rsidRDefault="007D1A7F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D1A7F" w:rsidRDefault="007D1A7F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D1A7F" w:rsidRDefault="007D1A7F" w:rsidP="000E7691">
            <w:pPr>
              <w:pStyle w:val="ConsPlusNormal"/>
            </w:pPr>
          </w:p>
        </w:tc>
      </w:tr>
    </w:tbl>
    <w:p w:rsidR="007D1A7F" w:rsidRDefault="007D1A7F" w:rsidP="007D1A7F">
      <w:pPr>
        <w:pStyle w:val="ConsPlusNormal"/>
        <w:jc w:val="center"/>
      </w:pPr>
    </w:p>
    <w:p w:rsidR="007D1A7F" w:rsidRDefault="007D1A7F" w:rsidP="007D1A7F">
      <w:pPr>
        <w:pStyle w:val="ConsPlusNormal"/>
        <w:sectPr w:rsidR="007D1A7F" w:rsidSect="00D83F2D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1020"/>
        <w:gridCol w:w="1040"/>
        <w:gridCol w:w="1020"/>
        <w:gridCol w:w="986"/>
        <w:gridCol w:w="990"/>
        <w:gridCol w:w="1020"/>
        <w:gridCol w:w="1020"/>
        <w:gridCol w:w="1031"/>
        <w:gridCol w:w="1049"/>
        <w:gridCol w:w="1071"/>
        <w:gridCol w:w="1020"/>
        <w:gridCol w:w="1020"/>
        <w:gridCol w:w="1134"/>
      </w:tblGrid>
      <w:tr w:rsidR="007D1A7F" w:rsidTr="000E7691">
        <w:tc>
          <w:tcPr>
            <w:tcW w:w="15915" w:type="dxa"/>
            <w:gridSpan w:val="14"/>
            <w:tcBorders>
              <w:top w:val="nil"/>
              <w:left w:val="nil"/>
              <w:right w:val="nil"/>
            </w:tcBorders>
          </w:tcPr>
          <w:p w:rsidR="007D1A7F" w:rsidRDefault="007D1A7F" w:rsidP="000E7691">
            <w:pPr>
              <w:pStyle w:val="ConsPlusNormal"/>
              <w:jc w:val="right"/>
            </w:pPr>
            <w:r>
              <w:lastRenderedPageBreak/>
              <w:t>(тыс. рублей)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  <w:jc w:val="center"/>
            </w:pPr>
            <w:proofErr w:type="spellStart"/>
            <w:r>
              <w:t>Горноправдинск</w:t>
            </w:r>
            <w:proofErr w:type="spellEnd"/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  <w:jc w:val="center"/>
            </w:pPr>
            <w:r>
              <w:t>Селиярово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  <w:jc w:val="center"/>
            </w:pPr>
            <w:r>
              <w:t>Шапша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  <w:jc w:val="center"/>
            </w:pPr>
            <w:proofErr w:type="spellStart"/>
            <w:r>
              <w:t>Выкатной</w:t>
            </w:r>
            <w:proofErr w:type="spellEnd"/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  <w:jc w:val="center"/>
            </w:pPr>
            <w:r>
              <w:t>Кедровый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  <w:jc w:val="center"/>
            </w:pPr>
            <w:r>
              <w:t>Красноленинский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  <w:jc w:val="center"/>
            </w:pPr>
            <w:r>
              <w:t>Кышик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  <w:jc w:val="center"/>
            </w:pPr>
            <w:r>
              <w:t>Луговской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  <w:jc w:val="center"/>
            </w:pPr>
            <w:proofErr w:type="spellStart"/>
            <w:r>
              <w:t>Нялинское</w:t>
            </w:r>
            <w:proofErr w:type="spellEnd"/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  <w:jc w:val="center"/>
            </w:pPr>
            <w:r>
              <w:t>Сибирский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  <w:jc w:val="center"/>
            </w:pPr>
            <w:r>
              <w:t>Согом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  <w:jc w:val="center"/>
            </w:pPr>
            <w:proofErr w:type="spellStart"/>
            <w:r>
              <w:t>Цингалы</w:t>
            </w:r>
            <w:proofErr w:type="spellEnd"/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  <w:jc w:val="center"/>
            </w:pPr>
            <w:r>
              <w:t>ВСЕГО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Межбюджетные трансферты, всего: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94265,6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  <w:r>
              <w:t>77571,4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47583,8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71211,6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34080,2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20416,7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19605,5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79371,6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27863,0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  <w:r>
              <w:t>67092,3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13744,4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33217,0</w:t>
            </w: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586023,1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Федеральный бюджет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984,9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  <w:r>
              <w:t>364,0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350,2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367,5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364,0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350,2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1750,1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367,5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  <w:r>
              <w:t>369,2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350,2</w:t>
            </w: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6318,2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5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98,3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0,0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17,3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13,8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0,0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55,4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17,3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  <w:r>
              <w:t>19,0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0,0</w:t>
            </w: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234,9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 xml:space="preserve">Субвенция на </w:t>
            </w:r>
            <w:r>
              <w:lastRenderedPageBreak/>
              <w:t>осуществление первичного воинского учета на территориях, где отсутствуют военные комиссариаты (непрограммные мероприятия)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lastRenderedPageBreak/>
              <w:t>700,5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350,2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350,2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350,2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700,5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350,2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350,2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350,2</w:t>
            </w: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4903,0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994,2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994,2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Иные межбюджетные трансферты на реализацию проектов по благоустройству общественных пространств на сельских территориях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186,1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186,1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lastRenderedPageBreak/>
              <w:t>Бюджет автономного округа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3545,5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21,4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17,0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578,4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981,6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3049,0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1059,5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9336,5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 xml:space="preserve">Субвенция на осуществление переданных органам государственной власти субъектов Российской Федерации в соответствии с </w:t>
            </w:r>
            <w:hyperlink r:id="rId6">
              <w:r>
                <w:rPr>
                  <w:color w:val="0000FF"/>
                </w:rPr>
                <w:t>пунктом 1 статьи 4</w:t>
              </w:r>
            </w:hyperlink>
            <w:r>
              <w:t xml:space="preserve">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 в рамках муниципальной программы "Повышение эффективности муниципального управления 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107,6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0,0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0,0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0,0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0,0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0,0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0,0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0,0</w:t>
            </w: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107,6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Субсидия на реализацию мероприятий по созданию условий для деятельности народных дружин в сельских поселениях Ханты-</w:t>
            </w:r>
            <w:r>
              <w:lastRenderedPageBreak/>
              <w:t>Мансийского района в рамках муниципальной программы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lastRenderedPageBreak/>
              <w:t>0,0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  <w:r>
              <w:t>24,4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21,4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17,0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12,5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11,2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16,5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16,2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15,6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  <w:r>
              <w:t>15,6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13,9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19,0</w:t>
            </w: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183,3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1559,8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1559,8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 xml:space="preserve">Иные межбюджетные трансферты на реализацию проектов по благоустройству общественных пространств на сельских территориях в рамках муниципальной программы "Благоустройство населенных пунктов </w:t>
            </w:r>
            <w:r>
              <w:lastRenderedPageBreak/>
              <w:t>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lastRenderedPageBreak/>
              <w:t>1512,2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1512,2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Субсидии для реализации полномочий в области строительства и жилищных отношений в рамках муниципальной программы "Улучшение жилищных условий жителей 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1501,4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1501,4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Субсидия на 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в рамках муниципальной программы "Формирование и развитие муниципального имущества 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324,3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565,9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965,1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1373,0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1043,9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4272,2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lastRenderedPageBreak/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100,0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100,0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200,0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Местный бюджет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89735,2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  <w:r>
              <w:t>77183,0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47212,2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70827,1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33151,6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20041,5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18273,7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74572,5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26436,0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  <w:r>
              <w:t>66707,5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13380,3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32847,8</w:t>
            </w: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570368,4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Дотация на выравнивание бюджетной обеспеченности сельских поселений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75905,2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  <w:r>
              <w:t>27933,7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27438,6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22800,3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26342,1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15935,3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14714,3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58294,4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22274,0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  <w:r>
              <w:t>28679,9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10880,4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30620,7</w:t>
            </w: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361818,9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 xml:space="preserve">Субсидии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обязательств, возникающих при выполнении полномочий органов местного самоуправления сельских поселений на реализацию мероприятий по устройству защитных противопожарных полос в населенных пунктах района в рамках муниципальной программы "Безопасность </w:t>
            </w:r>
            <w:r>
              <w:lastRenderedPageBreak/>
              <w:t>жизнедеятельности в Ханты-Мансийском районе"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lastRenderedPageBreak/>
              <w:t>150,0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452,1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100,0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150,0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100,0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50,0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150,0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275,0</w:t>
            </w: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1577,1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Иные межбюджетные трансферты на организацию деятельности "дворовых площадок", клубов по месту жительства в рамках муниципальной программы "Развитие образования в Ханты-Мансийском районе"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51,9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  <w:r>
              <w:t>64,8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61,0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77,8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71,4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64,8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64,8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242,5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51,9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  <w:r>
              <w:t>25,9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58,4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64,8</w:t>
            </w: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900,0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proofErr w:type="gramStart"/>
            <w:r>
              <w:t>Иные межбюджетные трансферты</w:t>
            </w:r>
            <w:proofErr w:type="gramEnd"/>
            <w:r>
              <w:t xml:space="preserve"> передаваемые по соглашениям за счет средств ПТЭК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  <w:r>
              <w:t>45000,0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2005,4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39485,4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1500,0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2291,8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  <w:r>
              <w:t>27832,7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118115,3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 xml:space="preserve">Субсидии за счет средств бюджета района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</w:t>
            </w:r>
            <w:r>
              <w:lastRenderedPageBreak/>
              <w:t>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4852,9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4852,9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 xml:space="preserve">Субсидии за счет средств бюджета района в целях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"Формирование и развитие муниципального имущества 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460,7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460,7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 xml:space="preserve">Субсидия на мероприятия по освобождению земельных участков, планируемых для жилищного </w:t>
            </w:r>
            <w:r>
              <w:lastRenderedPageBreak/>
              <w:t>строительства и комплекса мероприятий по формированию земельных участков для индивидуального жилищного строительства в рамках муниципальной программы "Формирование и развитие муниципального имущества 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lastRenderedPageBreak/>
              <w:t>38,1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69,2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118,1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168,0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127,7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521,1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Субсидии для реализации полномочий в области строительства и жилищных отношений в рамках муниципальной программы "Улучшение жилищных условий жителей 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176,3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176,3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 xml:space="preserve">Иные межбюджетные трансферты на реализацию инициативных проектов в рамках муниципальной программы "Благоустройство </w:t>
            </w:r>
            <w:r>
              <w:lastRenderedPageBreak/>
              <w:t>населенных пунктов 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lastRenderedPageBreak/>
              <w:t>2 185,6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4 597,8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1 819,8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3 415,9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12 019,1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Иные межбюджетные трансферты на реализацию программ формирования современной городской среды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574,7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574,7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Иные межбюджетные трансферты на реализацию проектов по благоустройству общественных пространств на сельских территориях в рамках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616,3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616,3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 xml:space="preserve">Иные межбюджетные трансферты на частичную компенсацию </w:t>
            </w:r>
            <w:r>
              <w:lastRenderedPageBreak/>
              <w:t>расходов целевого показателя средней заработной платы муниципальных учреждений культуры (непрограммные мероприятия)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lastRenderedPageBreak/>
              <w:t>10202,3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  <w:r>
              <w:t>3827,3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3932,0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4832,5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4132,2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2050,6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1463,6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8398,0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3265,5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  <w:r>
              <w:t>8904,3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1583,0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1320,4</w:t>
            </w: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53911,7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Иные межбюджетные трансферты на поощрение муниципальных управленческих команд (непрограммные расходы)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409,5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  <w:r>
              <w:t>180,2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229,3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196,5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212,9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163,8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212,9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344,0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212,9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  <w:r>
              <w:t>212,9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82,0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212,9</w:t>
            </w: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2669,8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Иные межбюджетные трансферты на оплату кредиторской задолженности (непрограммные мероприятия)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1423,0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1423,0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Иные межбюджетные трансферты на мероприятие по предотвращению разрушения дамбы обвалования в д. Белогорье (непрограммные мероприятия)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670,0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670,0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 xml:space="preserve">Иные межбюджетные </w:t>
            </w:r>
            <w:r>
              <w:lastRenderedPageBreak/>
              <w:t>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lastRenderedPageBreak/>
              <w:t>0,0</w:t>
            </w: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3068,4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3334,6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354,0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177,0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697,9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354,0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  <w:r>
              <w:t>1051,8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315,8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354,0</w:t>
            </w: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10061,5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Реализация мероприятий по содержанию вертолетных площадок в рамках муниципальной программы "Развитие транспортной системы на территории 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177,0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354,0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  <w:r>
              <w:t>354,0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177,0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177,0</w:t>
            </w: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  <w:r>
              <w:t>697,9</w:t>
            </w: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  <w:r>
              <w:t>354,0</w:t>
            </w: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  <w:r>
              <w:t>531,0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315,8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354,0</w:t>
            </w: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3668,7</w:t>
            </w:r>
          </w:p>
        </w:tc>
      </w:tr>
      <w:tr w:rsidR="007D1A7F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2494" w:type="dxa"/>
          </w:tcPr>
          <w:p w:rsidR="007D1A7F" w:rsidRDefault="007D1A7F" w:rsidP="000E7691">
            <w:pPr>
              <w:pStyle w:val="ConsPlusNormal"/>
            </w:pPr>
            <w:r>
              <w:t>Содержание автомобильных дорог местного значения вне границ населенных пунктов в границах муниципального района в рамках муниципальной программы "Развитие транспортной системы на территории Ханты-Мансийского района"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  <w:r>
              <w:t>2891,4</w:t>
            </w:r>
          </w:p>
        </w:tc>
        <w:tc>
          <w:tcPr>
            <w:tcW w:w="986" w:type="dxa"/>
          </w:tcPr>
          <w:p w:rsidR="007D1A7F" w:rsidRDefault="007D1A7F" w:rsidP="000E7691">
            <w:pPr>
              <w:pStyle w:val="ConsPlusNormal"/>
            </w:pPr>
            <w:r>
              <w:t>2980,6</w:t>
            </w:r>
          </w:p>
        </w:tc>
        <w:tc>
          <w:tcPr>
            <w:tcW w:w="99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31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49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71" w:type="dxa"/>
          </w:tcPr>
          <w:p w:rsidR="007D1A7F" w:rsidRDefault="007D1A7F" w:rsidP="000E7691">
            <w:pPr>
              <w:pStyle w:val="ConsPlusNormal"/>
            </w:pPr>
            <w:r>
              <w:t>520,8</w:t>
            </w: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020" w:type="dxa"/>
          </w:tcPr>
          <w:p w:rsidR="007D1A7F" w:rsidRDefault="007D1A7F" w:rsidP="000E7691">
            <w:pPr>
              <w:pStyle w:val="ConsPlusNormal"/>
            </w:pPr>
          </w:p>
        </w:tc>
        <w:tc>
          <w:tcPr>
            <w:tcW w:w="1134" w:type="dxa"/>
          </w:tcPr>
          <w:p w:rsidR="007D1A7F" w:rsidRDefault="007D1A7F" w:rsidP="000E7691">
            <w:pPr>
              <w:pStyle w:val="ConsPlusNormal"/>
            </w:pPr>
            <w:r>
              <w:t>6392,8</w:t>
            </w:r>
          </w:p>
        </w:tc>
      </w:tr>
    </w:tbl>
    <w:p w:rsidR="007D1A7F" w:rsidRDefault="007D1A7F" w:rsidP="007D1A7F">
      <w:pPr>
        <w:pStyle w:val="ConsPlusNormal"/>
        <w:sectPr w:rsidR="007D1A7F" w:rsidSect="00D83F2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D71AC" w:rsidRDefault="001D71AC"/>
    <w:sectPr w:rsidR="001D71AC" w:rsidSect="007D1A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A1"/>
    <w:rsid w:val="000D68B9"/>
    <w:rsid w:val="001D71AC"/>
    <w:rsid w:val="002166A1"/>
    <w:rsid w:val="007D1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D47A03-B629-44E0-8D8D-224ADBDCB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A7F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1A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7D1A7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83037&amp;dst=100553" TargetMode="External"/><Relationship Id="rId5" Type="http://schemas.openxmlformats.org/officeDocument/2006/relationships/hyperlink" Target="https://login.consultant.ru/link/?req=doc&amp;base=LAW&amp;n=483037&amp;dst=100553" TargetMode="External"/><Relationship Id="rId4" Type="http://schemas.openxmlformats.org/officeDocument/2006/relationships/hyperlink" Target="https://login.consultant.ru/link/?req=doc&amp;base=RLAW926&amp;n=309017&amp;dst=1399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1296</Words>
  <Characters>7393</Characters>
  <Application>Microsoft Office Word</Application>
  <DocSecurity>0</DocSecurity>
  <Lines>61</Lines>
  <Paragraphs>17</Paragraphs>
  <ScaleCrop>false</ScaleCrop>
  <Company/>
  <LinksUpToDate>false</LinksUpToDate>
  <CharactersWithSpaces>8672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2024-12-28T11:11:00Z</dcterms:created>
  <dcterms:modified xsi:type="dcterms:W3CDTF">2024-10-18T11:48:00Z</dcterms:modified>
</cp:coreProperties>
</file>