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A44" w:rsidRDefault="00F52A44" w:rsidP="00F52A44">
      <w:pPr>
        <w:pStyle w:val="ConsNormal"/>
        <w:widowControl/>
        <w:ind w:firstLine="709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13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5" w:history="1">
        <w:r w:rsidRPr="00E5073A">
          <w:rPr>
            <w:rStyle w:val="a3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F52A44" w:rsidRPr="00E97C8D" w:rsidRDefault="00F52A44" w:rsidP="00F52A44">
      <w:pPr>
        <w:pStyle w:val="ConsNormal"/>
        <w:widowControl/>
        <w:ind w:firstLine="709"/>
        <w:rPr>
          <w:color w:val="000000"/>
          <w:sz w:val="24"/>
          <w:szCs w:val="24"/>
        </w:rPr>
      </w:pPr>
      <w:r w:rsidRPr="00E97C8D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13</w:t>
      </w:r>
      <w:r w:rsidRPr="00E97C8D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6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E97C8D">
          <w:rPr>
            <w:rStyle w:val="a3"/>
            <w:bCs/>
            <w:sz w:val="24"/>
            <w:szCs w:val="24"/>
          </w:rPr>
          <w:t>от 15.06.2023 № 323</w:t>
        </w:r>
      </w:hyperlink>
      <w:r w:rsidRPr="00E97C8D">
        <w:rPr>
          <w:bCs/>
          <w:color w:val="000000"/>
          <w:sz w:val="24"/>
          <w:szCs w:val="24"/>
        </w:rPr>
        <w:t>)</w:t>
      </w:r>
    </w:p>
    <w:p w:rsidR="00F52A44" w:rsidRDefault="00F52A44" w:rsidP="00F52A44">
      <w:pPr>
        <w:pStyle w:val="ConsNormal"/>
        <w:widowControl/>
        <w:ind w:firstLine="709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>(Приложение 1</w:t>
      </w:r>
      <w:r>
        <w:rPr>
          <w:color w:val="000000"/>
          <w:sz w:val="24"/>
          <w:szCs w:val="24"/>
        </w:rPr>
        <w:t>3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7" w:history="1">
        <w:r>
          <w:rPr>
            <w:rStyle w:val="a3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F52A44" w:rsidRPr="00913544" w:rsidRDefault="00F52A44" w:rsidP="00F52A44">
      <w:pPr>
        <w:pStyle w:val="ConsNormal"/>
        <w:widowControl/>
        <w:ind w:firstLine="709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>(Приложение 1</w:t>
      </w:r>
      <w:r>
        <w:rPr>
          <w:color w:val="000000"/>
          <w:sz w:val="24"/>
          <w:szCs w:val="24"/>
        </w:rPr>
        <w:t>3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8" w:history="1">
        <w:r>
          <w:rPr>
            <w:rStyle w:val="a3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F52A44" w:rsidRDefault="00F52A44" w:rsidP="00F52A44">
      <w:pPr>
        <w:pStyle w:val="ConsNormal"/>
        <w:widowControl/>
        <w:ind w:left="10915" w:firstLine="709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13 к решению Думы Ханты-Мансийского района от 23.12.2022 № 227</w:t>
      </w:r>
    </w:p>
    <w:p w:rsidR="00F52A44" w:rsidRPr="00BE76CD" w:rsidRDefault="00F52A44" w:rsidP="00F52A4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2"/>
        <w:gridCol w:w="2016"/>
        <w:gridCol w:w="1848"/>
        <w:gridCol w:w="1977"/>
        <w:gridCol w:w="1530"/>
      </w:tblGrid>
      <w:tr w:rsidR="00F52A44" w:rsidRPr="00667E74" w:rsidTr="00C563BE">
        <w:trPr>
          <w:trHeight w:val="375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b/>
                <w:color w:val="000000"/>
                <w:sz w:val="30"/>
                <w:szCs w:val="30"/>
              </w:rPr>
            </w:pPr>
            <w:r w:rsidRPr="00667E74">
              <w:rPr>
                <w:rFonts w:cs="Arial"/>
                <w:b/>
                <w:color w:val="000000"/>
                <w:sz w:val="30"/>
                <w:szCs w:val="30"/>
              </w:rPr>
              <w:t>Объем межбюджетных трансфертов, получаемых из других бюджетов бюджетной системы Российской Федерации в 2023 году</w:t>
            </w:r>
          </w:p>
        </w:tc>
      </w:tr>
      <w:tr w:rsidR="00F52A44" w:rsidRPr="00667E74" w:rsidTr="00C563BE">
        <w:trPr>
          <w:trHeight w:val="375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2A44" w:rsidRPr="00667E74" w:rsidRDefault="00F52A44" w:rsidP="00C563BE">
            <w:pPr>
              <w:ind w:firstLine="0"/>
              <w:jc w:val="right"/>
              <w:rPr>
                <w:rFonts w:cs="Arial"/>
                <w:color w:val="000000"/>
              </w:rPr>
            </w:pPr>
          </w:p>
          <w:p w:rsidR="00F52A44" w:rsidRPr="00667E74" w:rsidRDefault="00F52A44" w:rsidP="00C563BE">
            <w:pPr>
              <w:ind w:firstLine="0"/>
              <w:jc w:val="righ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(тыс. рублей)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Наименование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Федеральный бюджет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Бюджет ХМАО-Югры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Бюджет сельских поселений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121 461,80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121 461,80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6 279,8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6 279,8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3 889,8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3 889,8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 xml:space="preserve">Дотации на поощрение </w:t>
            </w:r>
            <w:proofErr w:type="gramStart"/>
            <w:r w:rsidRPr="00667E74">
              <w:rPr>
                <w:rFonts w:cs="Arial"/>
                <w:color w:val="000000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667E74">
              <w:rPr>
                <w:rFonts w:cs="Arial"/>
                <w:color w:val="000000"/>
              </w:rPr>
              <w:t xml:space="preserve"> и муниципальных районов Ханты-Мансийского автономного округа – Югры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12 559,4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12 559,4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3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Итого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144 190,80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144 190,80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</w:tr>
      <w:tr w:rsidR="00F52A44" w:rsidRPr="00667E74" w:rsidTr="00C563BE">
        <w:trPr>
          <w:trHeight w:val="375"/>
        </w:trPr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бюджетам муниципальных районов 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  <w:proofErr w:type="gramEnd"/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7 031,40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3 164,10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3 867,30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8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Государственная программа "Развитие образования"</w:t>
            </w:r>
            <w:proofErr w:type="gramEnd"/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3 124,80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3 124,80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591,70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230,8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360,90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развитие сферы культуры в муниципальных образованиях Ханты-Мансийского автономного округа – Югры Государственная программа "Культурное пространство"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1 341,10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1 341,10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3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Субсидия государственная поддержка отрасли культуры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70,90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31,9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164 008,30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164 008,30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26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 xml:space="preserve">Субсидии на </w:t>
            </w:r>
            <w:proofErr w:type="spellStart"/>
            <w:r w:rsidRPr="00667E74">
              <w:rPr>
                <w:rFonts w:cs="Arial"/>
                <w:color w:val="000000"/>
              </w:rPr>
              <w:t>софинансирование</w:t>
            </w:r>
            <w:proofErr w:type="spellEnd"/>
            <w:r w:rsidRPr="00667E74">
              <w:rPr>
                <w:rFonts w:cs="Arial"/>
                <w:color w:val="00000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549,50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549,50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Субсидии на </w:t>
            </w:r>
            <w:proofErr w:type="spellStart"/>
            <w:r w:rsidRPr="00667E74">
              <w:rPr>
                <w:rFonts w:cs="Arial"/>
                <w:color w:val="000000"/>
              </w:rPr>
              <w:t>софинансирование</w:t>
            </w:r>
            <w:proofErr w:type="spellEnd"/>
            <w:r w:rsidRPr="00667E74">
              <w:rPr>
                <w:rFonts w:cs="Arial"/>
                <w:color w:val="000000"/>
              </w:rPr>
              <w:t xml:space="preserve">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397,80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397,80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реализацию полномочий в сфере жилищно-коммунального комплекса Государственная программа "Жилищно-коммунальный комплекс и городская среда"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6 754,70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6 754,70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реализацию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5 066,00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5 066,00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22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Государственная программа "Жилищно-коммунальный комплекс и городская среда"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45 238,40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45 238,40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Субсидии на реализацию программ формирования современной городской среды Региональный проект "Формирование комфортной городской среды"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2 722,30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1 061,70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1 660,60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для реализации полномочий в области градостроительной деятельности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5 234,40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5 234,40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Субсидия на реализацию на реализацию инициативных проектов, отобранных по результатам конкурсного отбора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1 620,80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1 620,80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8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строительства и жилищных отношений Государственная программа "Развитие жилищной сферы"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404 074,90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404 074,90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1 334,50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520,4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814,10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667E74">
              <w:rPr>
                <w:rFonts w:cs="Arial"/>
                <w:color w:val="000000"/>
              </w:rPr>
              <w:t>Субсиди</w:t>
            </w:r>
            <w:proofErr w:type="spellEnd"/>
            <w:r w:rsidRPr="00667E74">
              <w:rPr>
                <w:rFonts w:cs="Arial"/>
                <w:color w:val="000000"/>
              </w:rPr>
              <w:t xml:space="preserve"> на реализацию мероприятий по обеспечению жильем молодых семей Государственная программа "Развитие жилищной сферы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2 198,20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135,00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2 063,20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Субсидии на создание условий для деятельности народных дружин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183,30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183,30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Субсидии на поддержку малого и среднего предпринимательства Государственная программа "Развитие экономического потенциала"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6 982,10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6 982,10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</w:rPr>
            </w:pPr>
            <w:r w:rsidRPr="00667E74">
              <w:rPr>
                <w:rFonts w:cs="Arial"/>
              </w:rPr>
              <w:t>Субсидии муниципальным районам на выравнивание бюджетной обеспеченности поселений, входящих в состав муниципальных районов 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159 524,80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159 524,80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FF0000"/>
              </w:rPr>
            </w:pPr>
            <w:r w:rsidRPr="00667E74">
              <w:rPr>
                <w:rFonts w:cs="Arial"/>
                <w:color w:val="FF0000"/>
              </w:rPr>
              <w:t> </w:t>
            </w:r>
          </w:p>
        </w:tc>
      </w:tr>
      <w:tr w:rsidR="00F52A44" w:rsidRPr="00667E74" w:rsidTr="00C563BE">
        <w:trPr>
          <w:trHeight w:val="3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Итого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818 049,90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5 143,90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812 906,00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</w:t>
            </w:r>
          </w:p>
        </w:tc>
      </w:tr>
      <w:tr w:rsidR="00F52A44" w:rsidRPr="00667E74" w:rsidTr="00C563BE">
        <w:trPr>
          <w:trHeight w:val="375"/>
        </w:trPr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бюджетам муниципальных районов</w:t>
            </w:r>
          </w:p>
        </w:tc>
      </w:tr>
      <w:tr w:rsidR="00F52A44" w:rsidRPr="00667E74" w:rsidTr="00C563BE">
        <w:trPr>
          <w:trHeight w:val="22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Государственная программа "Развитие образования"</w:t>
            </w:r>
            <w:proofErr w:type="gramEnd"/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76 134,60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76 134,60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организацию и обеспечение отдыха и оздоровления детей, в том числе в этнической среде Государственная программа "Развитие образования"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5 744,00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5 744,00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8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667E74">
              <w:rPr>
                <w:rFonts w:cs="Arial"/>
                <w:color w:val="000000"/>
              </w:rPr>
              <w:t>осуществления</w:t>
            </w:r>
            <w:proofErr w:type="gramEnd"/>
            <w:r w:rsidRPr="00667E74">
              <w:rPr>
                <w:rFonts w:cs="Arial"/>
                <w:color w:val="000000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1 372 013,10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1 372 013,10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 Государственная программа "Развитие образования"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6 721,00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6 721,00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3 448,20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3 448,20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22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Государственная программа "Жилищно-коммунальный комплекс и городская среда"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279 010,30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279 010,30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Государственная программа "Жилищно-коммунальный комплекс и городская среда"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15 050,70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15 050,70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8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(администрирование) Государственная программа "Жилищно-коммунальный комплекс и городская среда"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2,60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30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Государственная программа "Развитие жилищной сферы"</w:t>
            </w:r>
            <w:proofErr w:type="gramEnd"/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24,80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 Государственная программа "Развитие жилищной сферы"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4 000,00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4 162,40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4 162,40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26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3 692,10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3 692,10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81,40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81,40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Государственная программа "Культурное пространство"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332,50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332,50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7,60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7,60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30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proofErr w:type="gramStart"/>
            <w:r w:rsidRPr="00667E74">
              <w:rPr>
                <w:rFonts w:cs="Arial"/>
                <w:color w:val="00000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Государственная программа "Профилактика правонарушений и обеспечение отдельных прав граждан"</w:t>
            </w:r>
            <w:proofErr w:type="gramEnd"/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1 055,50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1 055,50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667E74">
              <w:rPr>
                <w:rFonts w:cs="Arial"/>
                <w:color w:val="000000"/>
              </w:rPr>
              <w:t>в</w:t>
            </w:r>
            <w:proofErr w:type="gramEnd"/>
            <w:r w:rsidRPr="00667E74">
              <w:rPr>
                <w:rFonts w:cs="Arial"/>
                <w:color w:val="000000"/>
              </w:rPr>
              <w:t xml:space="preserve"> </w:t>
            </w:r>
            <w:proofErr w:type="gramStart"/>
            <w:r w:rsidRPr="00667E74">
              <w:rPr>
                <w:rFonts w:cs="Arial"/>
                <w:color w:val="000000"/>
              </w:rPr>
              <w:t>Ханты-Мансийском</w:t>
            </w:r>
            <w:proofErr w:type="gramEnd"/>
            <w:r w:rsidRPr="00667E74">
              <w:rPr>
                <w:rFonts w:cs="Arial"/>
                <w:color w:val="000000"/>
              </w:rPr>
              <w:t xml:space="preserve"> автономном округе – Югре Государственная программа "Современное здравоохранение"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1 680,70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1 680,70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 xml:space="preserve">Субвенции </w:t>
            </w:r>
            <w:proofErr w:type="gramStart"/>
            <w:r w:rsidRPr="00667E74">
              <w:rPr>
                <w:rFonts w:cs="Arial"/>
                <w:color w:val="000000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  <w:r w:rsidRPr="00667E74">
              <w:rPr>
                <w:rFonts w:cs="Arial"/>
                <w:color w:val="000000"/>
              </w:rPr>
              <w:t xml:space="preserve"> Государственная программа "Развитие агропромышленного комплекса"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743,70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743,70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6 881,70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6 881,70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5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4 875,60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3 299,00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1 576,60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поддержку и развитие животноводства Государственная программа "Развитие агропромышленного комплекса"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76 917,60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76 917,60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поддержку и развитие малых форм хозяйствования Государственная программа "Развитие агропромышленного комплекса"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16 354,30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16 354,30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поддержку и развитие растениеводства Государственная программа "Развитие агропромышленного комплекса"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25 099,90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25 099,90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Субвенции на развитие </w:t>
            </w:r>
            <w:proofErr w:type="spellStart"/>
            <w:r w:rsidRPr="00667E74">
              <w:rPr>
                <w:rFonts w:cs="Arial"/>
                <w:color w:val="000000"/>
              </w:rPr>
              <w:t>рыбохозяйственного</w:t>
            </w:r>
            <w:proofErr w:type="spellEnd"/>
            <w:r w:rsidRPr="00667E74">
              <w:rPr>
                <w:rFonts w:cs="Arial"/>
                <w:color w:val="000000"/>
              </w:rPr>
              <w:t xml:space="preserve"> комплекса Государственная программа "Развитие агропромышленного комплекса"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1 005,70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1 005,70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4 775,30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4 775,30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8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lastRenderedPageBreak/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45 144,10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45 144,10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3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Итого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1 954 959,40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11 469,00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1 943 490,40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</w:tr>
      <w:tr w:rsidR="00F52A44" w:rsidRPr="00667E74" w:rsidTr="00C563BE">
        <w:trPr>
          <w:trHeight w:val="375"/>
        </w:trPr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Иные виды трансфертов 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18 040,70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18 040,70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Иные межбюджетные трансферты за счет бюджетных ассигнований резервного фонда Правительства ХМАО – Югры. Поощрение муниципальных управленческих команд (мобилизационные группы)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690,00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690,00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1 488,00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1 488,00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75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 xml:space="preserve">Иные межбюджетные </w:t>
            </w:r>
            <w:proofErr w:type="gramStart"/>
            <w:r w:rsidRPr="00667E74">
              <w:rPr>
                <w:rFonts w:cs="Arial"/>
                <w:color w:val="000000"/>
              </w:rPr>
              <w:t>трансферты</w:t>
            </w:r>
            <w:proofErr w:type="gramEnd"/>
            <w:r w:rsidRPr="00667E74">
              <w:rPr>
                <w:rFonts w:cs="Arial"/>
                <w:color w:val="000000"/>
              </w:rPr>
              <w:t xml:space="preserve"> передаваемые по соглашениям из бюджета сельских поселений в бюджет района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20 110,30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</w:rPr>
            </w:pPr>
            <w:r w:rsidRPr="00667E74">
              <w:rPr>
                <w:rFonts w:cs="Arial"/>
              </w:rPr>
              <w:t>20 110,30</w:t>
            </w:r>
          </w:p>
        </w:tc>
      </w:tr>
      <w:tr w:rsidR="00F52A44" w:rsidRPr="00667E74" w:rsidTr="00C563BE">
        <w:trPr>
          <w:trHeight w:val="112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39 528,30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39 528,30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 </w:t>
            </w:r>
          </w:p>
        </w:tc>
      </w:tr>
      <w:tr w:rsidR="00F52A44" w:rsidRPr="00667E74" w:rsidTr="00C563BE">
        <w:trPr>
          <w:trHeight w:val="3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Итого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79 857,30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39 528,30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20 218,70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20 110,30</w:t>
            </w:r>
          </w:p>
        </w:tc>
      </w:tr>
      <w:tr w:rsidR="00F52A44" w:rsidRPr="00667E74" w:rsidTr="00C563BE">
        <w:trPr>
          <w:trHeight w:val="3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A44" w:rsidRPr="00667E74" w:rsidRDefault="00F52A44" w:rsidP="00C563BE">
            <w:pPr>
              <w:ind w:firstLine="0"/>
              <w:jc w:val="left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Всего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2 997 057,40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56 141,20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2 920 805,90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A44" w:rsidRPr="00667E74" w:rsidRDefault="00F52A44" w:rsidP="00C563BE">
            <w:pPr>
              <w:ind w:firstLine="0"/>
              <w:jc w:val="center"/>
              <w:rPr>
                <w:rFonts w:cs="Arial"/>
                <w:color w:val="000000"/>
              </w:rPr>
            </w:pPr>
            <w:r w:rsidRPr="00667E74">
              <w:rPr>
                <w:rFonts w:cs="Arial"/>
                <w:color w:val="000000"/>
              </w:rPr>
              <w:t>20 110,30</w:t>
            </w:r>
          </w:p>
        </w:tc>
      </w:tr>
    </w:tbl>
    <w:p w:rsidR="00F52A44" w:rsidRPr="00913544" w:rsidRDefault="00F52A44" w:rsidP="00F52A44">
      <w:pPr>
        <w:pStyle w:val="ConsNormal"/>
        <w:widowControl/>
        <w:tabs>
          <w:tab w:val="center" w:pos="616"/>
        </w:tabs>
        <w:ind w:firstLine="0"/>
        <w:rPr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F566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738"/>
    <w:rsid w:val="00093B98"/>
    <w:rsid w:val="004E6738"/>
    <w:rsid w:val="00F52A44"/>
    <w:rsid w:val="00F5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52A4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52A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F52A44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52A4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52A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F52A44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85cf5473-8bc2-4a68-a4e1-1ee71e1ab26b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content\act\afa93fa7-466f-4a1b-a199-3d2e155ccda5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9ae9b1d3-a208-4c7d-9013-c7189b106abd.doc" TargetMode="External"/><Relationship Id="rId5" Type="http://schemas.openxmlformats.org/officeDocument/2006/relationships/hyperlink" Target="file:///C:\content\act\498d8e6c-8528-4f13-9db6-4cc98a17e558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2135</Words>
  <Characters>12176</Characters>
  <Application>Microsoft Office Word</Application>
  <DocSecurity>0</DocSecurity>
  <Lines>101</Lines>
  <Paragraphs>28</Paragraphs>
  <ScaleCrop>false</ScaleCrop>
  <Company/>
  <LinksUpToDate>false</LinksUpToDate>
  <CharactersWithSpaces>14283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2023-12-20T06:01:00Z</dcterms:created>
  <dcterms:modified xsi:type="dcterms:W3CDTF">2023-12-20T06:19:00Z</dcterms:modified>
</cp:coreProperties>
</file>