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72" w:rsidRPr="005E0256" w:rsidRDefault="00392072" w:rsidP="00392072">
      <w:pPr>
        <w:pStyle w:val="ConsNormal"/>
        <w:widowControl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(Приложение 1 </w:t>
      </w:r>
      <w:r w:rsidRPr="008A1E2D">
        <w:rPr>
          <w:color w:val="000000"/>
          <w:sz w:val="24"/>
          <w:szCs w:val="24"/>
        </w:rPr>
        <w:t>изложен</w:t>
      </w:r>
      <w:r>
        <w:rPr>
          <w:color w:val="000000"/>
          <w:sz w:val="24"/>
          <w:szCs w:val="24"/>
        </w:rPr>
        <w:t>о</w:t>
      </w:r>
      <w:r w:rsidRPr="008A1E2D">
        <w:rPr>
          <w:color w:val="000000"/>
          <w:sz w:val="24"/>
          <w:szCs w:val="24"/>
        </w:rPr>
        <w:t xml:space="preserve"> в новой редакции решением Думы </w:t>
      </w:r>
      <w:hyperlink r:id="rId6" w:history="1">
        <w:r>
          <w:rPr>
            <w:rStyle w:val="a3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392072" w:rsidRPr="00A254A0" w:rsidRDefault="00392072" w:rsidP="00392072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AC45EF">
        <w:rPr>
          <w:b w:val="0"/>
          <w:color w:val="000000"/>
          <w:sz w:val="24"/>
          <w:szCs w:val="24"/>
        </w:rPr>
        <w:t xml:space="preserve">(Приложение 1 изложено в новой редакции </w:t>
      </w:r>
      <w:r w:rsidRPr="00DF593D">
        <w:rPr>
          <w:b w:val="0"/>
          <w:sz w:val="24"/>
          <w:szCs w:val="24"/>
        </w:rPr>
        <w:t>решением Думы</w:t>
      </w:r>
      <w:r>
        <w:rPr>
          <w:b w:val="0"/>
          <w:sz w:val="24"/>
          <w:szCs w:val="24"/>
        </w:rPr>
        <w:t xml:space="preserve">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DF593D">
          <w:rPr>
            <w:rStyle w:val="a3"/>
            <w:b w:val="0"/>
            <w:sz w:val="24"/>
            <w:szCs w:val="24"/>
          </w:rPr>
          <w:t>от 15.06.2023 № 323</w:t>
        </w:r>
      </w:hyperlink>
      <w:r>
        <w:rPr>
          <w:b w:val="0"/>
          <w:sz w:val="24"/>
          <w:szCs w:val="24"/>
        </w:rPr>
        <w:t>)</w:t>
      </w:r>
    </w:p>
    <w:p w:rsidR="00392072" w:rsidRPr="0006651B" w:rsidRDefault="00392072" w:rsidP="00392072">
      <w:pPr>
        <w:pStyle w:val="ConsNormal"/>
        <w:widowControl/>
        <w:ind w:firstLine="567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1 изложено в новой редакции решением Думы </w:t>
      </w:r>
      <w:hyperlink r:id="rId8" w:history="1">
        <w:r>
          <w:rPr>
            <w:rStyle w:val="a3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392072" w:rsidRPr="005E0256" w:rsidRDefault="00392072" w:rsidP="00392072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9" w:tooltip="решение от 24.11.2023 0:00:00 №351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667E74">
          <w:rPr>
            <w:rStyle w:val="a3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392072" w:rsidRPr="008E2B86" w:rsidRDefault="00392072" w:rsidP="00392072">
      <w:pPr>
        <w:autoSpaceDE w:val="0"/>
        <w:autoSpaceDN w:val="0"/>
        <w:adjustRightInd w:val="0"/>
        <w:ind w:left="11340" w:firstLine="709"/>
        <w:jc w:val="right"/>
        <w:rPr>
          <w:rFonts w:cs="Arial"/>
          <w:b/>
          <w:sz w:val="30"/>
          <w:szCs w:val="30"/>
        </w:rPr>
      </w:pPr>
      <w:r w:rsidRPr="008E2B86">
        <w:rPr>
          <w:rFonts w:cs="Arial"/>
          <w:b/>
          <w:sz w:val="30"/>
          <w:szCs w:val="30"/>
        </w:rPr>
        <w:t>Приложение 1 к решению Думы Ханты-Мансийского района от 23.12.2022 № 227</w:t>
      </w:r>
    </w:p>
    <w:p w:rsidR="00392072" w:rsidRPr="009F5A8E" w:rsidRDefault="00392072" w:rsidP="00392072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502" w:type="dxa"/>
        <w:tblInd w:w="93" w:type="dxa"/>
        <w:tblLook w:val="04A0" w:firstRow="1" w:lastRow="0" w:firstColumn="1" w:lastColumn="0" w:noHBand="0" w:noVBand="1"/>
      </w:tblPr>
      <w:tblGrid>
        <w:gridCol w:w="1161"/>
        <w:gridCol w:w="3970"/>
        <w:gridCol w:w="8622"/>
        <w:gridCol w:w="1749"/>
      </w:tblGrid>
      <w:tr w:rsidR="00392072" w:rsidRPr="009F5A8E" w:rsidTr="00C563BE">
        <w:trPr>
          <w:trHeight w:val="383"/>
        </w:trPr>
        <w:tc>
          <w:tcPr>
            <w:tcW w:w="155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right="180"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9F5A8E">
              <w:rPr>
                <w:rFonts w:cs="Arial"/>
                <w:b/>
                <w:color w:val="000000"/>
                <w:sz w:val="30"/>
                <w:szCs w:val="30"/>
              </w:rPr>
              <w:t>Прогнозируемый объем поступлений по видам доходов на 2023 год</w:t>
            </w:r>
          </w:p>
        </w:tc>
      </w:tr>
      <w:tr w:rsidR="00392072" w:rsidRPr="009F5A8E" w:rsidTr="00C563BE">
        <w:trPr>
          <w:trHeight w:val="398"/>
        </w:trPr>
        <w:tc>
          <w:tcPr>
            <w:tcW w:w="155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(тыс. рублей)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№ </w:t>
            </w:r>
            <w:proofErr w:type="gramStart"/>
            <w:r w:rsidRPr="009F5A8E">
              <w:rPr>
                <w:rFonts w:cs="Arial"/>
                <w:color w:val="000000"/>
              </w:rPr>
              <w:t>п</w:t>
            </w:r>
            <w:proofErr w:type="gramEnd"/>
            <w:r w:rsidRPr="009F5A8E">
              <w:rPr>
                <w:rFonts w:cs="Arial"/>
                <w:color w:val="000000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Код бюджетной классификации</w:t>
            </w:r>
          </w:p>
        </w:tc>
        <w:tc>
          <w:tcPr>
            <w:tcW w:w="8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Наименование кода классификации доходов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Сумма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8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1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2023 год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8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 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5 646 550,0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000 1 00 00000 00 0000 000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НАЛОГОВЫЕ И НЕНАЛОГОВЫЕ ДОХОДЫ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2 394 155,8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НАЛОГИ НА ПРИБЫЛЬ, ДОХОДЫ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1 764 194,0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000 1 01 02000 01 0000 110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 на доходы физических лиц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1 764 194,0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1.1.1.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000 1 01 02010 01 0000 110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1 745 322,6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1.1.2.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000 1 01 02020 01 0000 110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9F5A8E">
              <w:rPr>
                <w:rFonts w:cs="Arial"/>
                <w:color w:val="000000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12,0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lastRenderedPageBreak/>
              <w:t>1.1.3.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000 1 01 02030 01 0000 110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1 623,9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1.1.4.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000 1 01 02040 01 0000 110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15 975,8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1.1.5.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000 1 01 02080 01 0000 110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1 258,5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1.1.6.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000 1 01 02130 01 0000 110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9F5A8E">
              <w:rPr>
                <w:rFonts w:cs="Arial"/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000 1 03 00000 00 0000 000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1 138,7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2.1.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000 1 03 02231 01 0000 110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592,3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2.2.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000 1 03 02241 01 0000 110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F5A8E">
              <w:rPr>
                <w:rFonts w:cs="Arial"/>
                <w:color w:val="000000"/>
              </w:rPr>
              <w:t>инжекторных</w:t>
            </w:r>
            <w:proofErr w:type="spellEnd"/>
            <w:r w:rsidRPr="009F5A8E">
              <w:rPr>
                <w:rFonts w:cs="Arial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lastRenderedPageBreak/>
              <w:t>2.3.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000 1 03 02251 01 0000 110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614,8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2.4.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000 1 03 02261 01 0000 110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-71,3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НАЛОГИ НА СОВОКУПНЫЙ ДОХОД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28 467,1</w:t>
            </w:r>
          </w:p>
        </w:tc>
      </w:tr>
      <w:tr w:rsidR="00392072" w:rsidRPr="009F5A8E" w:rsidTr="00C563BE">
        <w:trPr>
          <w:trHeight w:val="398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000 1 05 01000 00 0000 110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27 063,9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3.1.1.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000 1 05 01011 01 0000 110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16 599,0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3.1.2.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000 1 05 01021 01 0000 110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10 465,0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3.1.3.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000 1 05 01022 01 0000 110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-0,1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000 1 05 02000 01 0000 110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106,5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000 1 05 03000 01 0000 110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Единый сельскохозяйственный налог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1 339,2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3.4.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000 1 05 04000 02 0000 110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-42,5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000 1 06 00000 00 0000 000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НАЛОГИ НА ИМУЩЕСТВО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15 917,8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4.1.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000 1 06 01000 00 0000 110 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Налог на имущество физических лиц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250,0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4.2.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000 1 06 04000 00 0000 110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Транспортный налог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6 881,6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4.2.1.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000 1 06 04011 02 0000 110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Транспортный налог с организаций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4 000,0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4.2.2.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000 1 06 04012 02 0000 110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Транспортный налог с физических лиц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2 881,6</w:t>
            </w:r>
          </w:p>
        </w:tc>
      </w:tr>
      <w:tr w:rsidR="00392072" w:rsidRPr="009F5A8E" w:rsidTr="00C563BE">
        <w:trPr>
          <w:trHeight w:val="41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4.3.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000 1 06 06000 00 0000 110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Земельный налог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8 786,2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4.3.1.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000 1 06 06033 05 0000 110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Земельный налог с организаций, обладающих земельным участком, </w:t>
            </w:r>
            <w:r w:rsidRPr="009F5A8E">
              <w:rPr>
                <w:rFonts w:cs="Arial"/>
                <w:color w:val="000000"/>
              </w:rPr>
              <w:lastRenderedPageBreak/>
              <w:t>расположенным в границах межселенных территорий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7 800,0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lastRenderedPageBreak/>
              <w:t>4.3.2.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000 1 06 06043 05 0000 110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986,2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000 1 08 00000 00 0000 000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ГОСУДАРСТВЕННАЯ ПОШЛИНА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187,9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5.1.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000 1 08 03010 01 0000 110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187,9</w:t>
            </w:r>
          </w:p>
        </w:tc>
      </w:tr>
      <w:tr w:rsidR="00392072" w:rsidRPr="009F5A8E" w:rsidTr="00C563BE">
        <w:trPr>
          <w:trHeight w:val="751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000 1 09 00000 00 0000 000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6.1.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000 1 09 07053 05 0000 110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1,1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6.2.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000 1 09 07033 05 0000 110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0,2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7.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000 1 11 00000 00 0000 000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333 403,6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7.1.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000 1 11 05013 05 0000 120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9F5A8E">
              <w:rPr>
                <w:rFonts w:cs="Arial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328 177,3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7.2.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000 1 11 05035 05 0000 120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341,7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7.3.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000 1 11 05313 05 0000 120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</w:t>
            </w:r>
            <w:r w:rsidRPr="009F5A8E">
              <w:rPr>
                <w:rFonts w:cs="Arial"/>
                <w:color w:val="000000"/>
              </w:rPr>
              <w:lastRenderedPageBreak/>
              <w:t xml:space="preserve">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5,0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lastRenderedPageBreak/>
              <w:t>7.4.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000 1 11 09045 05 0000 120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4 879,6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8.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000 1 12 00000 00 0000 000 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ПЛАТЕЖИ ПРИ ПОЛЬЗОВАНИИ ПРИРОДНЫМИ РЕСУРСАМИ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81 719,9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8.1.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000 1 12 01000 01 0000 120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81 719,9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8.1.1.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000 1 12 01010 01 0000 120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12 200,0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8.1.2.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000 1 12 01030 01 0000 120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135,0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8.1.3.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000 1 12 01041 01 0000 120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1 486,2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8.1.4.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000 1 12 01070 01 0000 120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67 898,7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9.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000 1 13 00000 00 0000 000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25 158,8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9.1.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000 1 13 01995 05 0000 130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14 061,5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9.2.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000 1 13 02995 05 0000 130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11 097,3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10.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000 1 14 00000 00 0000 000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9 162,9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10.1.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000 1 14 01050 05 0000 410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574,3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10.2.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000 1 14 02053 05 0000 410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2 075,1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10.3.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>000 1 14 06013 05 0000 430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9F5A8E">
              <w:rPr>
                <w:rFonts w:cs="Arial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</w:t>
            </w:r>
            <w:r w:rsidRPr="009F5A8E">
              <w:rPr>
                <w:rFonts w:cs="Arial"/>
                <w:color w:val="000000"/>
              </w:rPr>
              <w:lastRenderedPageBreak/>
              <w:t>поселений и межселенных территорий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6 513,5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11.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ШТРАФЫ, САНКЦИИ, ВОЗМЕЩЕНИЕ УЩЕРБА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134 627,1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000 1 16 01050 01 0000 140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3,1</w:t>
            </w:r>
          </w:p>
        </w:tc>
      </w:tr>
      <w:tr w:rsidR="00392072" w:rsidRPr="009F5A8E" w:rsidTr="00C563BE">
        <w:trPr>
          <w:trHeight w:val="444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000 1 16 01060 01 0000 140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000 1 16 01080 01 0000 140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1 665,8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 xml:space="preserve">000 1 16 01090 01 0000 140 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8,4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000 1 16 01190 01 0000 140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118,5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000 1 16 01200 01 0000 140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11.7.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000 1 16 02000 02 0000 140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31,2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11.8.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000 1 16 07090 05 0000 140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9F5A8E">
              <w:rPr>
                <w:rFonts w:cs="Arial"/>
              </w:rPr>
              <w:lastRenderedPageBreak/>
              <w:t>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451,4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11.9.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000 1 16 07010 05 0000 140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proofErr w:type="gramStart"/>
            <w:r w:rsidRPr="009F5A8E">
              <w:rPr>
                <w:rFonts w:cs="Arial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</w:t>
            </w:r>
            <w:proofErr w:type="gramEnd"/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595,3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11.10.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000 1 16 09040 05 0000 140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346,2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11.12.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000 1 16 10123 01 0000 140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-152,6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11.13.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000 1 16 10129 01 0000 140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11.14.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000 1 16 11050 01 0000 140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131 552,6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12.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000 1 17 00000 00 0000 000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ПРОЧИЕ НЕНАЛОГОВЫЕ ДОХОДЫ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176,7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12.1.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000 1 17 15030 05 0000 150</w:t>
            </w:r>
          </w:p>
        </w:tc>
        <w:tc>
          <w:tcPr>
            <w:tcW w:w="8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rPr>
                <w:rFonts w:cs="Arial"/>
              </w:rPr>
            </w:pPr>
            <w:r w:rsidRPr="009F5A8E">
              <w:rPr>
                <w:rFonts w:cs="Arial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176,7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000 2 00 00000 00 0000 000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БЕЗВОЗМЕЗДНЫЕ ПОСТУПЛЕНИЯ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3 252 394,2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000 2 02 00000 00 0000 000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2 997 057,4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000 2 02 10000 00 0000 150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Дотации бюджетам бюджетной системы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144 190,8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13.1.1.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000 2 02 15002 05 0000 150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121 461,8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13.1.2.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000 2 02 19999 05 0000 150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Прочие дотации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22 729,0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818 049,9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000 2 02 20077 05 0000 150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Субсидии бюджетам муниципальных районов на </w:t>
            </w:r>
            <w:proofErr w:type="spellStart"/>
            <w:r w:rsidRPr="009F5A8E">
              <w:rPr>
                <w:rFonts w:cs="Arial"/>
              </w:rPr>
              <w:t>софинансирование</w:t>
            </w:r>
            <w:proofErr w:type="spellEnd"/>
            <w:r w:rsidRPr="009F5A8E">
              <w:rPr>
                <w:rFonts w:cs="Arial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164 008,3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000 2 02 20300 05 0000 150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5 066,0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000 2 02 20303 05 0000 150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6 754,7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000 2 02 25098 05 0000 150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1 334,5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000 2 02 25179 05 0000 150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591,7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000 2 02 25304 05 0000 150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7 031,4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13.2.7.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000 2 02 25497 05 0000 150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2 198,2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13.2.8.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000 2 02 25519 05 0000 150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70,9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13.2.9.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000 2 02 25555 05 0000 150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2 722,3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13.2.10.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000 2 02 29999 05 0000 150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Прочие субсидии бюджетам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628 271,9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13.3.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000 2 02 30000 00 0000 150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Субвенции бюджетам бюджетной системы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1 954 959,4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13.3.1.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000 2 02 30024 05 0000 150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1 935 192,8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13.3.2.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000 2 02 30029 05 0000 150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6 721,0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13.3.3.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000 2 02 35118 05 0000 150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4 162,4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13.3.4.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000 2 02 35120 05 0000 150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7,6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13.3.5.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000 2 02 35135 05 0000 150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4 000,0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13.3.6.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000 2 02 35930 05 0000 150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4 875,6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000 2 02 40000 00 0000 150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79 857,3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13.4.1.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000 2 02 40014 05 0000 150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20 110,3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13.4.2.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000 2 02 45303 05 0000 150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39 528,3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13.4.3.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000 2 02 49999 05 0000 150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20 218,7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000 2 04 00000 00 0000 150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 xml:space="preserve">ПРОЧИЕ БЕЗВОЗМЕЗДНЫЕ ПОСТУПЛЕНИЯ ОТ </w:t>
            </w:r>
            <w:r w:rsidRPr="009F5A8E">
              <w:rPr>
                <w:rFonts w:cs="Arial"/>
              </w:rPr>
              <w:lastRenderedPageBreak/>
              <w:t xml:space="preserve">НЕГОСУДАРСТВЕННЫХ ОРГАНИЗАЦИЙ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284 114,7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lastRenderedPageBreak/>
              <w:t>14.1.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000 2 04 05099 05 0000 150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284 114,7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000 2 07 00000 00 0000 150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-16 266,2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15.1.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000 2 07 05003 05 0000 150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spacing w:after="280"/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-16 266,2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000 2 18 00000 00 0000 150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16.1.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000 2 18 60010 05 0000 150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0,0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17.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000 2 19 00000 00 0000 150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-12 511,7</w:t>
            </w:r>
          </w:p>
        </w:tc>
      </w:tr>
      <w:tr w:rsidR="00392072" w:rsidRPr="009F5A8E" w:rsidTr="00C563BE">
        <w:trPr>
          <w:trHeight w:val="383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17.1.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center"/>
              <w:rPr>
                <w:rFonts w:cs="Arial"/>
              </w:rPr>
            </w:pPr>
            <w:r w:rsidRPr="009F5A8E">
              <w:rPr>
                <w:rFonts w:cs="Arial"/>
              </w:rPr>
              <w:t>000 2 19 60010 05 0000 150</w:t>
            </w:r>
          </w:p>
        </w:tc>
        <w:tc>
          <w:tcPr>
            <w:tcW w:w="8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072" w:rsidRPr="009F5A8E" w:rsidRDefault="00392072" w:rsidP="00C563BE">
            <w:pPr>
              <w:ind w:firstLine="0"/>
              <w:jc w:val="left"/>
              <w:rPr>
                <w:rFonts w:cs="Arial"/>
              </w:rPr>
            </w:pPr>
            <w:r w:rsidRPr="009F5A8E">
              <w:rPr>
                <w:rFonts w:cs="Arial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072" w:rsidRPr="009F5A8E" w:rsidRDefault="00392072" w:rsidP="00C563BE">
            <w:pPr>
              <w:ind w:firstLine="0"/>
              <w:jc w:val="right"/>
              <w:rPr>
                <w:rFonts w:cs="Arial"/>
              </w:rPr>
            </w:pPr>
            <w:r w:rsidRPr="009F5A8E">
              <w:rPr>
                <w:rFonts w:cs="Arial"/>
              </w:rPr>
              <w:t>-12 511,7</w:t>
            </w:r>
          </w:p>
        </w:tc>
      </w:tr>
    </w:tbl>
    <w:p w:rsidR="00392072" w:rsidRPr="008E2B86" w:rsidRDefault="00392072" w:rsidP="00392072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93B98" w:rsidRDefault="00093B98">
      <w:bookmarkStart w:id="0" w:name="_GoBack"/>
      <w:bookmarkEnd w:id="0"/>
    </w:p>
    <w:sectPr w:rsidR="00093B98" w:rsidSect="003920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77"/>
    <w:rsid w:val="00093B98"/>
    <w:rsid w:val="00306877"/>
    <w:rsid w:val="0039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920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20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392072"/>
    <w:rPr>
      <w:color w:val="0000FF"/>
      <w:u w:val="none"/>
    </w:rPr>
  </w:style>
  <w:style w:type="paragraph" w:customStyle="1" w:styleId="Title">
    <w:name w:val="Title!Название НПА"/>
    <w:basedOn w:val="a"/>
    <w:rsid w:val="003920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920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20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392072"/>
    <w:rPr>
      <w:color w:val="0000FF"/>
      <w:u w:val="none"/>
    </w:rPr>
  </w:style>
  <w:style w:type="paragraph" w:customStyle="1" w:styleId="Title">
    <w:name w:val="Title!Название НПА"/>
    <w:basedOn w:val="a"/>
    <w:rsid w:val="003920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fa93fa7-466f-4a1b-a199-3d2e155ccda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content\act\498d8e6c-8528-4f13-9db6-4cc98a17e55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85cf5473-8bc2-4a68-a4e1-1ee71e1ab26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3873-F3C1-4D99-A58A-A91A805F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3011</Words>
  <Characters>17163</Characters>
  <Application>Microsoft Office Word</Application>
  <DocSecurity>0</DocSecurity>
  <Lines>143</Lines>
  <Paragraphs>40</Paragraphs>
  <ScaleCrop>false</ScaleCrop>
  <Company/>
  <LinksUpToDate>false</LinksUpToDate>
  <CharactersWithSpaces>20134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2</cp:revision>
  <dcterms:created xsi:type="dcterms:W3CDTF">2023-12-20T05:58:00Z</dcterms:created>
  <dcterms:modified xsi:type="dcterms:W3CDTF">2023-12-20T05:58:00Z</dcterms:modified>
</cp:coreProperties>
</file>